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86" w:type="dxa"/>
        <w:jc w:val="center"/>
        <w:tblLook w:val="04A0" w:firstRow="1" w:lastRow="0" w:firstColumn="1" w:lastColumn="0" w:noHBand="0" w:noVBand="1"/>
      </w:tblPr>
      <w:tblGrid>
        <w:gridCol w:w="1830"/>
        <w:gridCol w:w="7656"/>
      </w:tblGrid>
      <w:tr w:rsidR="003E6A28" w:rsidRPr="00C12084" w14:paraId="56940A12" w14:textId="77777777" w:rsidTr="00AF4D87">
        <w:trPr>
          <w:jc w:val="center"/>
        </w:trPr>
        <w:tc>
          <w:tcPr>
            <w:tcW w:w="1830" w:type="dxa"/>
            <w:shd w:val="clear" w:color="auto" w:fill="auto"/>
            <w:vAlign w:val="center"/>
          </w:tcPr>
          <w:p w14:paraId="4FE9B690" w14:textId="77777777" w:rsidR="003E6A28" w:rsidRPr="00EB56F5" w:rsidRDefault="003E6A28" w:rsidP="00134A7B">
            <w:pPr>
              <w:keepNext/>
              <w:keepLines/>
              <w:spacing w:line="276" w:lineRule="auto"/>
              <w:jc w:val="center"/>
              <w:outlineLvl w:val="0"/>
              <w:rPr>
                <w:rFonts w:ascii="Arial" w:hAnsi="Arial" w:cs="Arial"/>
                <w:b/>
                <w:color w:val="000000" w:themeColor="text1"/>
                <w:sz w:val="16"/>
                <w:szCs w:val="16"/>
              </w:rPr>
            </w:pPr>
            <w:r w:rsidRPr="00EB56F5">
              <w:rPr>
                <w:rFonts w:ascii="Arial" w:hAnsi="Arial" w:cs="Arial"/>
                <w:b/>
                <w:noProof/>
                <w:color w:val="000000" w:themeColor="text1"/>
                <w:sz w:val="16"/>
                <w:szCs w:val="16"/>
                <w:lang w:val="en-US"/>
              </w:rPr>
              <w:drawing>
                <wp:anchor distT="0" distB="0" distL="114300" distR="114300" simplePos="0" relativeHeight="251662848" behindDoc="0" locked="0" layoutInCell="1" allowOverlap="1" wp14:anchorId="085344B6" wp14:editId="7D7FAA5E">
                  <wp:simplePos x="0" y="0"/>
                  <wp:positionH relativeFrom="margin">
                    <wp:posOffset>87630</wp:posOffset>
                  </wp:positionH>
                  <wp:positionV relativeFrom="margin">
                    <wp:posOffset>34290</wp:posOffset>
                  </wp:positionV>
                  <wp:extent cx="890270" cy="996315"/>
                  <wp:effectExtent l="0" t="0" r="5080" b="0"/>
                  <wp:wrapSquare wrapText="bothSides"/>
                  <wp:docPr id="28" name="Picture 28" descr="Description: IJPIR-fi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IJPIR-final logo.jpg"/>
                          <pic:cNvPicPr>
                            <a:picLocks noChangeAspect="1" noChangeArrowheads="1"/>
                          </pic:cNvPicPr>
                        </pic:nvPicPr>
                        <pic:blipFill>
                          <a:blip r:embed="rId7">
                            <a:extLst>
                              <a:ext uri="{28A0092B-C50C-407E-A947-70E740481C1C}">
                                <a14:useLocalDpi xmlns:a14="http://schemas.microsoft.com/office/drawing/2010/main" val="0"/>
                              </a:ext>
                            </a:extLst>
                          </a:blip>
                          <a:srcRect l="8228" t="3165" r="4430"/>
                          <a:stretch>
                            <a:fillRect/>
                          </a:stretch>
                        </pic:blipFill>
                        <pic:spPr bwMode="auto">
                          <a:xfrm>
                            <a:off x="0" y="0"/>
                            <a:ext cx="890270" cy="996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56F5">
              <w:rPr>
                <w:rFonts w:ascii="Arial" w:hAnsi="Arial" w:cs="Arial"/>
                <w:b/>
                <w:color w:val="000000" w:themeColor="text1"/>
                <w:sz w:val="16"/>
                <w:szCs w:val="16"/>
              </w:rPr>
              <w:t>ISSN: 2278-2648</w:t>
            </w:r>
          </w:p>
        </w:tc>
        <w:tc>
          <w:tcPr>
            <w:tcW w:w="7656" w:type="dxa"/>
            <w:shd w:val="clear" w:color="auto" w:fill="F2F2F2" w:themeFill="background1" w:themeFillShade="F2"/>
            <w:vAlign w:val="bottom"/>
          </w:tcPr>
          <w:p w14:paraId="540D8D46" w14:textId="77777777" w:rsidR="003E6A28" w:rsidRPr="00F96F0D" w:rsidRDefault="003E6A28" w:rsidP="00F96F0D">
            <w:pPr>
              <w:spacing w:before="60" w:after="120"/>
              <w:jc w:val="center"/>
              <w:outlineLvl w:val="1"/>
              <w:rPr>
                <w:rFonts w:ascii="Arial" w:hAnsi="Arial" w:cs="Arial"/>
                <w:bCs/>
                <w:color w:val="000000" w:themeColor="text1"/>
                <w:sz w:val="28"/>
                <w:szCs w:val="28"/>
              </w:rPr>
            </w:pPr>
            <w:r w:rsidRPr="00F96F0D">
              <w:rPr>
                <w:rFonts w:ascii="Arial" w:hAnsi="Arial" w:cs="Arial"/>
                <w:b/>
                <w:bCs/>
                <w:color w:val="000000" w:themeColor="text1"/>
                <w:sz w:val="28"/>
                <w:szCs w:val="28"/>
              </w:rPr>
              <w:t>International Journal of Research in Pharmacology &amp; Pharmacotherapeutics (IJRPP)</w:t>
            </w:r>
          </w:p>
          <w:p w14:paraId="26F1A3E7" w14:textId="37390B53" w:rsidR="003E6A28" w:rsidRPr="003E6A28" w:rsidRDefault="003E6A28" w:rsidP="00F96F0D">
            <w:pPr>
              <w:adjustRightInd w:val="0"/>
              <w:spacing w:after="120"/>
              <w:jc w:val="center"/>
              <w:rPr>
                <w:rFonts w:ascii="Arial" w:hAnsi="Arial" w:cs="Arial"/>
                <w:b/>
                <w:bCs/>
                <w:color w:val="000000" w:themeColor="text1"/>
                <w:sz w:val="20"/>
                <w:szCs w:val="20"/>
                <w:lang w:eastAsia="ja-JP"/>
              </w:rPr>
            </w:pPr>
            <w:r w:rsidRPr="003E6A28">
              <w:rPr>
                <w:rFonts w:ascii="Arial" w:hAnsi="Arial" w:cs="Arial"/>
                <w:b/>
                <w:bCs/>
                <w:iCs/>
                <w:color w:val="000000" w:themeColor="text1"/>
                <w:sz w:val="20"/>
                <w:szCs w:val="20"/>
                <w:lang w:eastAsia="ja-JP"/>
              </w:rPr>
              <w:t>IJRPP |Vol.1</w:t>
            </w:r>
            <w:r w:rsidR="00D80931">
              <w:rPr>
                <w:rFonts w:ascii="Arial" w:hAnsi="Arial" w:cs="Arial"/>
                <w:b/>
                <w:bCs/>
                <w:iCs/>
                <w:color w:val="000000" w:themeColor="text1"/>
                <w:sz w:val="20"/>
                <w:szCs w:val="20"/>
                <w:lang w:eastAsia="ja-JP"/>
              </w:rPr>
              <w:t>4</w:t>
            </w:r>
            <w:r w:rsidRPr="003E6A28">
              <w:rPr>
                <w:rFonts w:ascii="Arial" w:hAnsi="Arial" w:cs="Arial"/>
                <w:b/>
                <w:bCs/>
                <w:iCs/>
                <w:color w:val="000000" w:themeColor="text1"/>
                <w:sz w:val="20"/>
                <w:szCs w:val="20"/>
                <w:lang w:eastAsia="ja-JP"/>
              </w:rPr>
              <w:t xml:space="preserve"> | Issue </w:t>
            </w:r>
            <w:r w:rsidR="00D80931">
              <w:rPr>
                <w:rFonts w:ascii="Arial" w:hAnsi="Arial" w:cs="Arial"/>
                <w:b/>
                <w:bCs/>
                <w:iCs/>
                <w:color w:val="000000" w:themeColor="text1"/>
                <w:sz w:val="20"/>
                <w:szCs w:val="20"/>
                <w:lang w:eastAsia="ja-JP"/>
              </w:rPr>
              <w:t>2</w:t>
            </w:r>
            <w:r w:rsidRPr="003E6A28">
              <w:rPr>
                <w:rFonts w:ascii="Arial" w:hAnsi="Arial" w:cs="Arial"/>
                <w:b/>
                <w:bCs/>
                <w:iCs/>
                <w:color w:val="000000" w:themeColor="text1"/>
                <w:sz w:val="20"/>
                <w:szCs w:val="20"/>
                <w:lang w:eastAsia="ja-JP"/>
              </w:rPr>
              <w:t xml:space="preserve"> | Jan - Mar -2026</w:t>
            </w:r>
          </w:p>
          <w:p w14:paraId="1F2996DB" w14:textId="77777777" w:rsidR="003E6A28" w:rsidRPr="00F96F0D" w:rsidRDefault="003E6A28" w:rsidP="00F96F0D">
            <w:pPr>
              <w:adjustRightInd w:val="0"/>
              <w:spacing w:after="120"/>
              <w:jc w:val="center"/>
              <w:rPr>
                <w:rFonts w:ascii="Arial" w:hAnsi="Arial" w:cs="Arial"/>
                <w:b/>
                <w:bCs/>
                <w:iCs/>
                <w:color w:val="000000" w:themeColor="text1"/>
                <w:sz w:val="18"/>
                <w:szCs w:val="18"/>
                <w:lang w:eastAsia="ja-JP"/>
              </w:rPr>
            </w:pPr>
            <w:r w:rsidRPr="00F96F0D">
              <w:rPr>
                <w:rFonts w:ascii="Arial" w:hAnsi="Arial" w:cs="Arial"/>
                <w:b/>
                <w:bCs/>
                <w:iCs/>
                <w:color w:val="000000" w:themeColor="text1"/>
                <w:sz w:val="18"/>
                <w:szCs w:val="18"/>
                <w:lang w:eastAsia="ja-JP"/>
              </w:rPr>
              <w:t>www.ijrpp.com</w:t>
            </w:r>
          </w:p>
          <w:p w14:paraId="198D2368" w14:textId="25A6706B" w:rsidR="003E6A28" w:rsidRPr="00F96F0D" w:rsidRDefault="003E6A28" w:rsidP="00732DB6">
            <w:pPr>
              <w:spacing w:after="100"/>
              <w:jc w:val="center"/>
              <w:rPr>
                <w:rFonts w:ascii="Century Schoolbook" w:hAnsi="Century Schoolbook"/>
                <w:b/>
                <w:bCs/>
                <w:i/>
                <w:color w:val="000000" w:themeColor="text1"/>
                <w:sz w:val="16"/>
                <w:szCs w:val="16"/>
                <w:lang w:eastAsia="ja-JP"/>
              </w:rPr>
            </w:pPr>
            <w:proofErr w:type="gramStart"/>
            <w:r w:rsidRPr="00F96F0D">
              <w:rPr>
                <w:rFonts w:ascii="Arial" w:hAnsi="Arial" w:cs="Arial"/>
                <w:color w:val="000000" w:themeColor="text1"/>
                <w:sz w:val="16"/>
                <w:szCs w:val="16"/>
                <w:lang w:eastAsia="ja-JP"/>
              </w:rPr>
              <w:t>DOI :</w:t>
            </w:r>
            <w:proofErr w:type="gramEnd"/>
            <w:r w:rsidRPr="00F96F0D">
              <w:rPr>
                <w:rFonts w:ascii="Arial" w:hAnsi="Arial" w:cs="Arial"/>
                <w:color w:val="000000" w:themeColor="text1"/>
                <w:sz w:val="16"/>
                <w:szCs w:val="16"/>
                <w:lang w:eastAsia="ja-JP"/>
              </w:rPr>
              <w:t xml:space="preserve"> </w:t>
            </w:r>
            <w:hyperlink r:id="rId8" w:history="1">
              <w:r w:rsidR="00EB3EC1" w:rsidRPr="00994F4C">
                <w:rPr>
                  <w:rStyle w:val="Hyperlink"/>
                  <w:rFonts w:ascii="Arial" w:hAnsi="Arial" w:cs="Arial"/>
                  <w:sz w:val="16"/>
                  <w:szCs w:val="16"/>
                  <w:lang w:eastAsia="ja-JP"/>
                </w:rPr>
                <w:t>https://doi.org/10.61096/ijrpp.v14.iss2.2026.72</w:t>
              </w:r>
              <w:r w:rsidR="00EB3EC1" w:rsidRPr="00994F4C">
                <w:rPr>
                  <w:rStyle w:val="Hyperlink"/>
                  <w:sz w:val="16"/>
                  <w:szCs w:val="16"/>
                </w:rPr>
                <w:t>4</w:t>
              </w:r>
              <w:r w:rsidR="00EB3EC1" w:rsidRPr="00994F4C">
                <w:rPr>
                  <w:rStyle w:val="Hyperlink"/>
                  <w:rFonts w:ascii="Arial" w:hAnsi="Arial" w:cs="Arial"/>
                  <w:sz w:val="16"/>
                  <w:szCs w:val="16"/>
                  <w:lang w:eastAsia="ja-JP"/>
                </w:rPr>
                <w:t>-730</w:t>
              </w:r>
            </w:hyperlink>
            <w:r w:rsidR="00EB3EC1">
              <w:rPr>
                <w:rFonts w:ascii="Arial" w:hAnsi="Arial" w:cs="Arial"/>
                <w:color w:val="000000" w:themeColor="text1"/>
                <w:sz w:val="16"/>
                <w:szCs w:val="16"/>
                <w:lang w:eastAsia="ja-JP"/>
              </w:rPr>
              <w:t xml:space="preserve"> </w:t>
            </w:r>
          </w:p>
        </w:tc>
      </w:tr>
    </w:tbl>
    <w:p w14:paraId="3BA1F9ED" w14:textId="0BBF798E" w:rsidR="0096736E" w:rsidRPr="00F97015" w:rsidRDefault="000C21AB" w:rsidP="00AF4D87">
      <w:pPr>
        <w:spacing w:before="240" w:after="240" w:line="240" w:lineRule="auto"/>
        <w:jc w:val="center"/>
        <w:rPr>
          <w:rFonts w:ascii="Times New Roman" w:hAnsi="Times New Roman" w:cs="Times New Roman"/>
          <w:b/>
          <w:bCs/>
          <w:i/>
          <w:iCs/>
          <w:sz w:val="28"/>
          <w:szCs w:val="28"/>
        </w:rPr>
      </w:pPr>
      <w:r>
        <w:rPr>
          <w:rFonts w:ascii="Times New Roman" w:hAnsi="Times New Roman" w:cs="Times New Roman"/>
          <w:b/>
          <w:bCs/>
          <w:sz w:val="28"/>
          <w:szCs w:val="28"/>
        </w:rPr>
        <w:t>m</w:t>
      </w:r>
      <w:r w:rsidR="00AE582E" w:rsidRPr="00AE582E">
        <w:rPr>
          <w:rFonts w:ascii="Times New Roman" w:hAnsi="Times New Roman" w:cs="Times New Roman"/>
          <w:b/>
          <w:bCs/>
          <w:sz w:val="28"/>
          <w:szCs w:val="28"/>
        </w:rPr>
        <w:t>RNA Therapeutics beyond Vaccines: Emerging Applications and Clinical Frontiers</w:t>
      </w:r>
    </w:p>
    <w:p w14:paraId="56B79CB0" w14:textId="665FC750" w:rsidR="00DC4379" w:rsidRPr="00F97015" w:rsidRDefault="00AE582E" w:rsidP="00AF4D87">
      <w:pPr>
        <w:pStyle w:val="B1"/>
        <w:spacing w:after="120"/>
        <w:ind w:firstLine="0"/>
        <w:jc w:val="center"/>
        <w:rPr>
          <w:rFonts w:ascii="Times New Roman" w:hAnsi="Times New Roman"/>
          <w:b/>
          <w:bCs/>
          <w:szCs w:val="20"/>
        </w:rPr>
      </w:pPr>
      <w:r w:rsidRPr="00AE582E">
        <w:rPr>
          <w:rFonts w:ascii="Times New Roman" w:hAnsi="Times New Roman"/>
          <w:b/>
          <w:bCs/>
          <w:szCs w:val="20"/>
        </w:rPr>
        <w:t>Sachin Verma</w:t>
      </w:r>
      <w:r w:rsidRPr="00AE582E">
        <w:rPr>
          <w:rFonts w:ascii="Times New Roman" w:hAnsi="Times New Roman"/>
          <w:b/>
          <w:bCs/>
          <w:szCs w:val="20"/>
          <w:vertAlign w:val="superscript"/>
        </w:rPr>
        <w:t>1*</w:t>
      </w:r>
      <w:r w:rsidRPr="00AE582E">
        <w:rPr>
          <w:rFonts w:ascii="Times New Roman" w:hAnsi="Times New Roman"/>
          <w:b/>
          <w:bCs/>
          <w:szCs w:val="20"/>
        </w:rPr>
        <w:t>, Sathyam Gupta A</w:t>
      </w:r>
      <w:r w:rsidRPr="00AE582E">
        <w:rPr>
          <w:rFonts w:ascii="Times New Roman" w:hAnsi="Times New Roman"/>
          <w:b/>
          <w:bCs/>
          <w:szCs w:val="20"/>
          <w:vertAlign w:val="superscript"/>
        </w:rPr>
        <w:t>2</w:t>
      </w:r>
      <w:r w:rsidRPr="00AE582E">
        <w:rPr>
          <w:rFonts w:ascii="Times New Roman" w:hAnsi="Times New Roman"/>
          <w:b/>
          <w:bCs/>
          <w:szCs w:val="20"/>
        </w:rPr>
        <w:t>, Suraj</w:t>
      </w:r>
      <w:r w:rsidRPr="00AE582E">
        <w:rPr>
          <w:rFonts w:ascii="Times New Roman" w:hAnsi="Times New Roman"/>
          <w:b/>
          <w:bCs/>
          <w:szCs w:val="20"/>
          <w:vertAlign w:val="superscript"/>
        </w:rPr>
        <w:t>3</w:t>
      </w:r>
      <w:r w:rsidRPr="00AE582E">
        <w:rPr>
          <w:rFonts w:ascii="Times New Roman" w:hAnsi="Times New Roman"/>
          <w:b/>
          <w:bCs/>
          <w:szCs w:val="20"/>
        </w:rPr>
        <w:t>, Rani Maruti Kamagouda</w:t>
      </w:r>
      <w:r w:rsidRPr="00AE582E">
        <w:rPr>
          <w:rFonts w:ascii="Times New Roman" w:hAnsi="Times New Roman"/>
          <w:b/>
          <w:bCs/>
          <w:szCs w:val="20"/>
          <w:vertAlign w:val="superscript"/>
        </w:rPr>
        <w:t>4</w:t>
      </w:r>
      <w:r w:rsidRPr="00AE582E">
        <w:rPr>
          <w:rFonts w:ascii="Times New Roman" w:hAnsi="Times New Roman"/>
          <w:b/>
          <w:bCs/>
          <w:szCs w:val="20"/>
        </w:rPr>
        <w:t xml:space="preserve">, </w:t>
      </w:r>
      <w:proofErr w:type="spellStart"/>
      <w:r w:rsidRPr="00AE582E">
        <w:rPr>
          <w:rFonts w:ascii="Times New Roman" w:hAnsi="Times New Roman"/>
          <w:b/>
          <w:bCs/>
          <w:szCs w:val="20"/>
        </w:rPr>
        <w:t>Sha</w:t>
      </w:r>
      <w:bookmarkStart w:id="0" w:name="_GoBack"/>
      <w:bookmarkEnd w:id="0"/>
      <w:r w:rsidRPr="00AE582E">
        <w:rPr>
          <w:rFonts w:ascii="Times New Roman" w:hAnsi="Times New Roman"/>
          <w:b/>
          <w:bCs/>
          <w:szCs w:val="20"/>
        </w:rPr>
        <w:t>ranyaa</w:t>
      </w:r>
      <w:proofErr w:type="spellEnd"/>
      <w:r w:rsidRPr="00AE582E">
        <w:rPr>
          <w:rFonts w:ascii="Times New Roman" w:hAnsi="Times New Roman"/>
          <w:b/>
          <w:bCs/>
          <w:szCs w:val="20"/>
        </w:rPr>
        <w:t xml:space="preserve"> S</w:t>
      </w:r>
      <w:r w:rsidRPr="00AE582E">
        <w:rPr>
          <w:rFonts w:ascii="Times New Roman" w:hAnsi="Times New Roman"/>
          <w:b/>
          <w:bCs/>
          <w:szCs w:val="20"/>
          <w:vertAlign w:val="superscript"/>
        </w:rPr>
        <w:t>5</w:t>
      </w:r>
    </w:p>
    <w:p w14:paraId="16EDDF34" w14:textId="0F574D99" w:rsidR="00AE582E" w:rsidRPr="00AE582E" w:rsidRDefault="00AE582E" w:rsidP="00AE582E">
      <w:pPr>
        <w:pStyle w:val="B1"/>
        <w:spacing w:before="120" w:after="120"/>
        <w:ind w:firstLine="0"/>
        <w:jc w:val="center"/>
        <w:rPr>
          <w:rFonts w:ascii="Times New Roman" w:hAnsi="Times New Roman"/>
          <w:i/>
        </w:rPr>
      </w:pPr>
      <w:r w:rsidRPr="00AE582E">
        <w:rPr>
          <w:rFonts w:ascii="Times New Roman" w:hAnsi="Times New Roman"/>
          <w:i/>
          <w:vertAlign w:val="superscript"/>
        </w:rPr>
        <w:t>1</w:t>
      </w:r>
      <w:r w:rsidRPr="00AE582E">
        <w:rPr>
          <w:rFonts w:ascii="Times New Roman" w:hAnsi="Times New Roman"/>
          <w:i/>
        </w:rPr>
        <w:t xml:space="preserve">Department of Pharmaceutics, Sharda School of Pharmacy, Sharda University Agra, </w:t>
      </w:r>
      <w:proofErr w:type="spellStart"/>
      <w:r w:rsidRPr="00AE582E">
        <w:rPr>
          <w:rFonts w:ascii="Times New Roman" w:hAnsi="Times New Roman"/>
          <w:i/>
        </w:rPr>
        <w:t>Keetham</w:t>
      </w:r>
      <w:proofErr w:type="spellEnd"/>
      <w:r w:rsidRPr="00AE582E">
        <w:rPr>
          <w:rFonts w:ascii="Times New Roman" w:hAnsi="Times New Roman"/>
          <w:i/>
        </w:rPr>
        <w:t>, Agra, Uttar Pradesh, 282007 India</w:t>
      </w:r>
    </w:p>
    <w:p w14:paraId="7961A3D8" w14:textId="3708B40F" w:rsidR="00AE582E" w:rsidRDefault="00AE582E" w:rsidP="00AE582E">
      <w:pPr>
        <w:pStyle w:val="B1"/>
        <w:spacing w:before="120" w:after="120"/>
        <w:ind w:firstLine="0"/>
        <w:jc w:val="center"/>
        <w:rPr>
          <w:rFonts w:ascii="Times New Roman" w:hAnsi="Times New Roman"/>
          <w:i/>
          <w:color w:val="000000" w:themeColor="text1"/>
          <w:lang w:val="en-US"/>
        </w:rPr>
      </w:pPr>
      <w:r w:rsidRPr="00AE582E">
        <w:rPr>
          <w:rFonts w:ascii="Times New Roman" w:hAnsi="Times New Roman"/>
          <w:i/>
          <w:vertAlign w:val="superscript"/>
        </w:rPr>
        <w:t>2,3,4,5</w:t>
      </w:r>
      <w:r w:rsidRPr="00AE582E">
        <w:rPr>
          <w:rFonts w:ascii="Times New Roman" w:hAnsi="Times New Roman"/>
          <w:i/>
        </w:rPr>
        <w:t>UG Student, KLE college of Pharmacy, Bengaluru, constituent Unit of KLE Academy of Higher Education and Research Belagavi, 590001, India</w:t>
      </w:r>
    </w:p>
    <w:p w14:paraId="54160AE0" w14:textId="3E57D795" w:rsidR="00DC4379" w:rsidRPr="00AF4D87" w:rsidRDefault="00E27EC0" w:rsidP="00D80931">
      <w:pPr>
        <w:pStyle w:val="B1"/>
        <w:spacing w:before="120"/>
        <w:ind w:firstLine="0"/>
        <w:rPr>
          <w:rFonts w:ascii="Times New Roman" w:hAnsi="Times New Roman"/>
          <w:color w:val="000000" w:themeColor="text1"/>
          <w:lang w:val="en-US"/>
        </w:rPr>
      </w:pPr>
      <w:r w:rsidRPr="00AF4D87">
        <w:rPr>
          <w:rFonts w:ascii="Times New Roman" w:hAnsi="Times New Roman"/>
          <w:color w:val="000000" w:themeColor="text1"/>
          <w:lang w:val="en-US"/>
        </w:rPr>
        <w:t>*</w:t>
      </w:r>
      <w:r w:rsidR="004A3C9F" w:rsidRPr="00AF4D87">
        <w:rPr>
          <w:rFonts w:ascii="Times New Roman" w:hAnsi="Times New Roman"/>
          <w:color w:val="000000" w:themeColor="text1"/>
          <w:lang w:val="en-US"/>
        </w:rPr>
        <w:t>Corresponding Author:</w:t>
      </w:r>
      <w:r w:rsidR="00DC4379" w:rsidRPr="00AF4D87">
        <w:rPr>
          <w:rFonts w:ascii="Times New Roman" w:hAnsi="Times New Roman"/>
        </w:rPr>
        <w:t xml:space="preserve"> </w:t>
      </w:r>
      <w:proofErr w:type="spellStart"/>
      <w:r w:rsidR="00AE582E" w:rsidRPr="00AE582E">
        <w:rPr>
          <w:rFonts w:ascii="Times New Roman" w:hAnsi="Times New Roman"/>
          <w:color w:val="000000" w:themeColor="text1"/>
          <w:lang w:val="en-US"/>
        </w:rPr>
        <w:t>Sachin</w:t>
      </w:r>
      <w:proofErr w:type="spellEnd"/>
      <w:r w:rsidR="00AE582E" w:rsidRPr="00AE582E">
        <w:rPr>
          <w:rFonts w:ascii="Times New Roman" w:hAnsi="Times New Roman"/>
          <w:color w:val="000000" w:themeColor="text1"/>
          <w:lang w:val="en-US"/>
        </w:rPr>
        <w:t xml:space="preserve"> Verma</w:t>
      </w:r>
    </w:p>
    <w:p w14:paraId="6CAC2497" w14:textId="1C10022C" w:rsidR="004A3C9F" w:rsidRPr="00AF4D87" w:rsidRDefault="004A3C9F" w:rsidP="00D80931">
      <w:pPr>
        <w:pStyle w:val="B1"/>
        <w:spacing w:after="120"/>
        <w:ind w:firstLine="0"/>
        <w:rPr>
          <w:rFonts w:ascii="Times New Roman" w:hAnsi="Times New Roman"/>
          <w:bCs/>
          <w:color w:val="000000" w:themeColor="text1"/>
        </w:rPr>
      </w:pPr>
      <w:r w:rsidRPr="00AF4D87">
        <w:rPr>
          <w:rFonts w:ascii="Times New Roman" w:hAnsi="Times New Roman"/>
          <w:bCs/>
          <w:color w:val="000000" w:themeColor="text1"/>
        </w:rPr>
        <w:t xml:space="preserve">Email id: </w:t>
      </w:r>
      <w:r w:rsidR="00AE582E" w:rsidRPr="00AE582E">
        <w:rPr>
          <w:rFonts w:ascii="Times New Roman" w:hAnsi="Times New Roman"/>
        </w:rPr>
        <w:t>sv936648@gmail.com</w:t>
      </w:r>
    </w:p>
    <w:tbl>
      <w:tblPr>
        <w:tblStyle w:val="TableGrid1"/>
        <w:tblW w:w="9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2088"/>
        <w:gridCol w:w="7158"/>
      </w:tblGrid>
      <w:tr w:rsidR="0028680A" w:rsidRPr="00C57056" w14:paraId="1FCD3B10" w14:textId="77777777" w:rsidTr="00AE582E">
        <w:trPr>
          <w:trHeight w:val="3735"/>
        </w:trPr>
        <w:tc>
          <w:tcPr>
            <w:tcW w:w="2088" w:type="dxa"/>
            <w:shd w:val="clear" w:color="auto" w:fill="F2F2F2"/>
          </w:tcPr>
          <w:p w14:paraId="2304A04E" w14:textId="77777777" w:rsidR="0028680A" w:rsidRPr="00C57056" w:rsidRDefault="0028680A" w:rsidP="00F97015">
            <w:pPr>
              <w:widowControl w:val="0"/>
              <w:autoSpaceDE w:val="0"/>
              <w:autoSpaceDN w:val="0"/>
              <w:adjustRightInd w:val="0"/>
              <w:rPr>
                <w:rFonts w:ascii="Century Schoolbook" w:eastAsia="Arial" w:hAnsi="Century Schoolbook" w:cs="Arial"/>
                <w:b/>
                <w:bCs/>
                <w:w w:val="111"/>
                <w:position w:val="-1"/>
                <w:szCs w:val="20"/>
              </w:rPr>
            </w:pPr>
            <w:bookmarkStart w:id="1" w:name="_Hlk176508724"/>
            <w:r w:rsidRPr="00C57056">
              <w:rPr>
                <w:rFonts w:ascii="Century Schoolbook" w:eastAsia="Arial" w:hAnsi="Century Schoolbook" w:cs="Arial"/>
                <w:noProof/>
              </w:rPr>
              <w:drawing>
                <wp:anchor distT="0" distB="0" distL="114300" distR="114300" simplePos="0" relativeHeight="251660800" behindDoc="0" locked="0" layoutInCell="1" allowOverlap="1" wp14:anchorId="3FB3C7CD" wp14:editId="7D68CDA3">
                  <wp:simplePos x="0" y="0"/>
                  <wp:positionH relativeFrom="column">
                    <wp:posOffset>208966</wp:posOffset>
                  </wp:positionH>
                  <wp:positionV relativeFrom="paragraph">
                    <wp:posOffset>92075</wp:posOffset>
                  </wp:positionV>
                  <wp:extent cx="292735" cy="29019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290195"/>
                          </a:xfrm>
                          <a:prstGeom prst="rect">
                            <a:avLst/>
                          </a:prstGeom>
                          <a:noFill/>
                          <a:ln>
                            <a:noFill/>
                          </a:ln>
                        </pic:spPr>
                      </pic:pic>
                    </a:graphicData>
                  </a:graphic>
                </wp:anchor>
              </w:drawing>
            </w:r>
          </w:p>
          <w:p w14:paraId="03869619" w14:textId="77777777" w:rsidR="0028680A" w:rsidRPr="00C57056" w:rsidRDefault="0028680A" w:rsidP="00F97015">
            <w:pPr>
              <w:widowControl w:val="0"/>
              <w:autoSpaceDE w:val="0"/>
              <w:autoSpaceDN w:val="0"/>
              <w:adjustRightInd w:val="0"/>
              <w:rPr>
                <w:rFonts w:ascii="Century Schoolbook" w:eastAsia="Arial" w:hAnsi="Century Schoolbook" w:cs="Arial"/>
                <w:sz w:val="20"/>
                <w:szCs w:val="20"/>
              </w:rPr>
            </w:pPr>
          </w:p>
          <w:p w14:paraId="5D38F4AD" w14:textId="77777777" w:rsidR="0028680A" w:rsidRPr="00C57056" w:rsidRDefault="0028680A" w:rsidP="00F97015">
            <w:pPr>
              <w:widowControl w:val="0"/>
              <w:autoSpaceDE w:val="0"/>
              <w:autoSpaceDN w:val="0"/>
              <w:rPr>
                <w:rFonts w:ascii="Century Schoolbook" w:eastAsia="Arial" w:hAnsi="Century Schoolbook" w:cs="Arial"/>
                <w:sz w:val="20"/>
              </w:rPr>
            </w:pPr>
          </w:p>
          <w:p w14:paraId="6D0F8881" w14:textId="77777777" w:rsidR="0028680A" w:rsidRPr="00F97015" w:rsidRDefault="0028680A" w:rsidP="00F97015">
            <w:pPr>
              <w:widowControl w:val="0"/>
              <w:autoSpaceDE w:val="0"/>
              <w:autoSpaceDN w:val="0"/>
              <w:rPr>
                <w:rFonts w:ascii="Times New Roman" w:eastAsia="Arial" w:hAnsi="Times New Roman"/>
                <w:sz w:val="20"/>
              </w:rPr>
            </w:pPr>
            <w:r w:rsidRPr="00F97015">
              <w:rPr>
                <w:rFonts w:ascii="Times New Roman" w:eastAsia="Arial" w:hAnsi="Times New Roman"/>
                <w:sz w:val="20"/>
              </w:rPr>
              <w:t>Published by:</w:t>
            </w:r>
          </w:p>
          <w:p w14:paraId="07F4C024" w14:textId="6C34E975" w:rsidR="00E27EC0" w:rsidRPr="00F97015" w:rsidRDefault="00D80931" w:rsidP="00F97015">
            <w:pPr>
              <w:widowControl w:val="0"/>
              <w:autoSpaceDE w:val="0"/>
              <w:autoSpaceDN w:val="0"/>
              <w:rPr>
                <w:rFonts w:ascii="Times New Roman" w:eastAsia="Arial" w:hAnsi="Times New Roman"/>
                <w:sz w:val="20"/>
              </w:rPr>
            </w:pPr>
            <w:r>
              <w:rPr>
                <w:rFonts w:ascii="Times New Roman" w:eastAsia="Arial" w:hAnsi="Times New Roman"/>
                <w:sz w:val="20"/>
              </w:rPr>
              <w:t>18</w:t>
            </w:r>
            <w:r w:rsidR="00E27EC0" w:rsidRPr="00F97015">
              <w:rPr>
                <w:rFonts w:ascii="Times New Roman" w:eastAsia="Arial" w:hAnsi="Times New Roman"/>
                <w:sz w:val="20"/>
              </w:rPr>
              <w:t>.0</w:t>
            </w:r>
            <w:r>
              <w:rPr>
                <w:rFonts w:ascii="Times New Roman" w:eastAsia="Arial" w:hAnsi="Times New Roman"/>
                <w:sz w:val="20"/>
              </w:rPr>
              <w:t>4</w:t>
            </w:r>
            <w:r w:rsidR="00E27EC0" w:rsidRPr="00F97015">
              <w:rPr>
                <w:rFonts w:ascii="Times New Roman" w:eastAsia="Arial" w:hAnsi="Times New Roman"/>
                <w:sz w:val="20"/>
              </w:rPr>
              <w:t>.2</w:t>
            </w:r>
            <w:r w:rsidR="003179B9" w:rsidRPr="00F97015">
              <w:rPr>
                <w:rFonts w:ascii="Times New Roman" w:eastAsia="Arial" w:hAnsi="Times New Roman"/>
                <w:sz w:val="20"/>
              </w:rPr>
              <w:t>02</w:t>
            </w:r>
            <w:r w:rsidR="00E27EC0" w:rsidRPr="00F97015">
              <w:rPr>
                <w:rFonts w:ascii="Times New Roman" w:eastAsia="Arial" w:hAnsi="Times New Roman"/>
                <w:sz w:val="20"/>
              </w:rPr>
              <w:t>6</w:t>
            </w:r>
          </w:p>
          <w:p w14:paraId="537BE18B" w14:textId="77777777" w:rsidR="00E27EC0" w:rsidRPr="00F97015" w:rsidRDefault="00E27EC0" w:rsidP="00F97015">
            <w:pPr>
              <w:widowControl w:val="0"/>
              <w:autoSpaceDE w:val="0"/>
              <w:autoSpaceDN w:val="0"/>
              <w:rPr>
                <w:rFonts w:ascii="Times New Roman" w:eastAsia="Arial" w:hAnsi="Times New Roman"/>
                <w:sz w:val="20"/>
              </w:rPr>
            </w:pPr>
          </w:p>
          <w:p w14:paraId="528881BD" w14:textId="77777777" w:rsidR="0028680A" w:rsidRPr="00F97015" w:rsidRDefault="0028680A" w:rsidP="00F97015">
            <w:pPr>
              <w:widowControl w:val="0"/>
              <w:autoSpaceDE w:val="0"/>
              <w:autoSpaceDN w:val="0"/>
              <w:rPr>
                <w:rFonts w:ascii="Times New Roman" w:eastAsia="Arial" w:hAnsi="Times New Roman"/>
                <w:sz w:val="20"/>
              </w:rPr>
            </w:pPr>
            <w:r w:rsidRPr="00F97015">
              <w:rPr>
                <w:rFonts w:ascii="Times New Roman" w:eastAsia="Arial" w:hAnsi="Times New Roman"/>
                <w:sz w:val="20"/>
              </w:rPr>
              <w:t>Futuristic Publications</w:t>
            </w:r>
          </w:p>
          <w:p w14:paraId="59E60D3F" w14:textId="77777777" w:rsidR="0028680A" w:rsidRPr="00F97015" w:rsidRDefault="0028680A" w:rsidP="00F97015">
            <w:pPr>
              <w:widowControl w:val="0"/>
              <w:autoSpaceDE w:val="0"/>
              <w:autoSpaceDN w:val="0"/>
              <w:adjustRightInd w:val="0"/>
              <w:rPr>
                <w:rFonts w:ascii="Times New Roman" w:eastAsia="Arial" w:hAnsi="Times New Roman"/>
                <w:sz w:val="20"/>
              </w:rPr>
            </w:pPr>
            <w:r w:rsidRPr="00F97015">
              <w:rPr>
                <w:rFonts w:ascii="Times New Roman" w:eastAsia="Arial" w:hAnsi="Times New Roman"/>
                <w:sz w:val="20"/>
              </w:rPr>
              <w:t>2026| All rights reserved.</w:t>
            </w:r>
          </w:p>
          <w:p w14:paraId="6996FEB4" w14:textId="77777777" w:rsidR="0028680A" w:rsidRPr="00F97015" w:rsidRDefault="0028680A" w:rsidP="00F97015">
            <w:pPr>
              <w:widowControl w:val="0"/>
              <w:autoSpaceDE w:val="0"/>
              <w:autoSpaceDN w:val="0"/>
              <w:adjustRightInd w:val="0"/>
              <w:rPr>
                <w:rFonts w:ascii="Times New Roman" w:eastAsia="Arial" w:hAnsi="Times New Roman"/>
                <w:sz w:val="20"/>
              </w:rPr>
            </w:pPr>
          </w:p>
          <w:p w14:paraId="60B630E8" w14:textId="77777777" w:rsidR="0028680A" w:rsidRPr="00F97015" w:rsidRDefault="0028680A" w:rsidP="00F97015">
            <w:pPr>
              <w:widowControl w:val="0"/>
              <w:autoSpaceDE w:val="0"/>
              <w:autoSpaceDN w:val="0"/>
              <w:adjustRightInd w:val="0"/>
              <w:rPr>
                <w:rFonts w:ascii="Times New Roman" w:eastAsia="Arial" w:hAnsi="Times New Roman"/>
                <w:b/>
                <w:bCs/>
                <w:w w:val="111"/>
                <w:position w:val="-1"/>
                <w:szCs w:val="20"/>
              </w:rPr>
            </w:pPr>
            <w:r w:rsidRPr="00F97015">
              <w:rPr>
                <w:rFonts w:ascii="Times New Roman" w:eastAsia="Arial" w:hAnsi="Times New Roman"/>
                <w:noProof/>
              </w:rPr>
              <w:drawing>
                <wp:inline distT="0" distB="0" distL="0" distR="0" wp14:anchorId="2A8E0202" wp14:editId="24EFDE78">
                  <wp:extent cx="839470" cy="300355"/>
                  <wp:effectExtent l="0" t="0" r="0" b="4445"/>
                  <wp:docPr id="8" name="Picture 8" descr="Description: creative-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reative-comm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9470" cy="300355"/>
                          </a:xfrm>
                          <a:prstGeom prst="rect">
                            <a:avLst/>
                          </a:prstGeom>
                          <a:noFill/>
                          <a:ln>
                            <a:noFill/>
                          </a:ln>
                        </pic:spPr>
                      </pic:pic>
                    </a:graphicData>
                  </a:graphic>
                </wp:inline>
              </w:drawing>
            </w:r>
          </w:p>
          <w:p w14:paraId="487F153D" w14:textId="77777777" w:rsidR="0028680A" w:rsidRPr="00F97015" w:rsidRDefault="0028680A" w:rsidP="00F97015">
            <w:pPr>
              <w:widowControl w:val="0"/>
              <w:autoSpaceDE w:val="0"/>
              <w:autoSpaceDN w:val="0"/>
              <w:rPr>
                <w:rFonts w:ascii="Times New Roman" w:eastAsia="Arial" w:hAnsi="Times New Roman"/>
              </w:rPr>
            </w:pPr>
          </w:p>
          <w:p w14:paraId="55E619C7" w14:textId="77777777" w:rsidR="00D80931" w:rsidRDefault="00340AF4" w:rsidP="00F97015">
            <w:pPr>
              <w:widowControl w:val="0"/>
              <w:autoSpaceDE w:val="0"/>
              <w:autoSpaceDN w:val="0"/>
              <w:rPr>
                <w:rFonts w:ascii="Times New Roman" w:eastAsia="Arial" w:hAnsi="Times New Roman"/>
                <w:sz w:val="20"/>
              </w:rPr>
            </w:pPr>
            <w:hyperlink r:id="rId11" w:history="1">
              <w:r w:rsidR="0028680A" w:rsidRPr="00F97015">
                <w:rPr>
                  <w:rFonts w:ascii="Times New Roman" w:eastAsia="Arial" w:hAnsi="Times New Roman"/>
                  <w:sz w:val="20"/>
                </w:rPr>
                <w:t>Creative Commons Attribution 4.0 International License</w:t>
              </w:r>
            </w:hyperlink>
            <w:r w:rsidR="0028680A" w:rsidRPr="00F97015">
              <w:rPr>
                <w:rFonts w:ascii="Times New Roman" w:eastAsia="Arial" w:hAnsi="Times New Roman"/>
                <w:sz w:val="20"/>
              </w:rPr>
              <w:t>.</w:t>
            </w:r>
          </w:p>
          <w:p w14:paraId="4E5EA0A6" w14:textId="44ED125C" w:rsidR="0028680A" w:rsidRPr="00C57056" w:rsidRDefault="0028680A" w:rsidP="00F97015">
            <w:pPr>
              <w:widowControl w:val="0"/>
              <w:autoSpaceDE w:val="0"/>
              <w:autoSpaceDN w:val="0"/>
              <w:rPr>
                <w:rFonts w:ascii="Century Schoolbook" w:eastAsia="Arial" w:hAnsi="Century Schoolbook" w:cs="Arial"/>
                <w:b/>
                <w:bCs/>
                <w:w w:val="111"/>
                <w:position w:val="-1"/>
                <w:szCs w:val="20"/>
              </w:rPr>
            </w:pPr>
            <w:r w:rsidRPr="00C57056">
              <w:rPr>
                <w:rFonts w:ascii="Century Schoolbook" w:eastAsia="Arial" w:hAnsi="Century Schoolbook" w:cs="Arial"/>
              </w:rPr>
              <w:t> </w:t>
            </w:r>
          </w:p>
        </w:tc>
        <w:tc>
          <w:tcPr>
            <w:tcW w:w="7158" w:type="dxa"/>
            <w:shd w:val="clear" w:color="auto" w:fill="F2F2F2"/>
          </w:tcPr>
          <w:p w14:paraId="1F45D1D4" w14:textId="184FCCA1" w:rsidR="00DC4379" w:rsidRPr="00F97015" w:rsidRDefault="008534F2" w:rsidP="000C21AB">
            <w:pPr>
              <w:pStyle w:val="B1"/>
              <w:spacing w:before="120" w:after="120"/>
              <w:ind w:firstLine="0"/>
              <w:rPr>
                <w:rFonts w:ascii="Times New Roman" w:hAnsi="Times New Roman"/>
                <w:szCs w:val="20"/>
              </w:rPr>
            </w:pPr>
            <w:r>
              <w:rPr>
                <w:rFonts w:ascii="Times New Roman" w:eastAsia="Arial" w:hAnsi="Times New Roman"/>
                <w:b/>
                <w:szCs w:val="20"/>
              </w:rPr>
              <w:t xml:space="preserve">Abstract: </w:t>
            </w:r>
            <w:r w:rsidR="00AE582E" w:rsidRPr="00AE582E">
              <w:rPr>
                <w:rFonts w:ascii="Times New Roman" w:hAnsi="Times New Roman"/>
                <w:szCs w:val="20"/>
              </w:rPr>
              <w:t>Messenger RNA (mRNA) therapeutics have revolutionized the biomedical landscape, particularly through their pivotal role in the development of COVID-19 vaccines. However, recent advances underscore the broader potential of mRNA technologies far beyond infectious diseases. This review explores emerging applications in oncology, rare genetic disorders, regenerative medicine, and protein replacement therapies. It provides a comprehensive analysis of molecular mechanisms, delivery platforms, clinical progress, manufacturing innovations, and safety considerations. Future directions include self-amplifying and circular RNA constructs, AI-optimized sequences, and synergistic use with CRISPR. By drawing from a spectrum of reputable academic, clinical, and industry sources, this article highlights how mRNA is evolving into a cornerstone of precision medicine and personalized therapeutics</w:t>
            </w:r>
            <w:r w:rsidR="00DC4379" w:rsidRPr="00F97015">
              <w:rPr>
                <w:rFonts w:ascii="Times New Roman" w:hAnsi="Times New Roman"/>
                <w:szCs w:val="20"/>
              </w:rPr>
              <w:t>.</w:t>
            </w:r>
          </w:p>
          <w:p w14:paraId="548F7D78" w14:textId="17C1F2A4" w:rsidR="0028680A" w:rsidRPr="00F97015" w:rsidRDefault="0028680A" w:rsidP="000C21AB">
            <w:pPr>
              <w:pStyle w:val="B1"/>
              <w:spacing w:before="120" w:after="120"/>
              <w:ind w:firstLine="0"/>
              <w:rPr>
                <w:rFonts w:ascii="Times New Roman" w:hAnsi="Times New Roman"/>
                <w:szCs w:val="20"/>
              </w:rPr>
            </w:pPr>
            <w:r w:rsidRPr="00F97015">
              <w:rPr>
                <w:rFonts w:ascii="Times New Roman" w:hAnsi="Times New Roman"/>
                <w:b/>
                <w:szCs w:val="20"/>
              </w:rPr>
              <w:t xml:space="preserve">Keywords: </w:t>
            </w:r>
            <w:r w:rsidR="00AE582E" w:rsidRPr="00AE582E">
              <w:rPr>
                <w:rFonts w:ascii="Times New Roman" w:hAnsi="Times New Roman"/>
                <w:szCs w:val="20"/>
              </w:rPr>
              <w:t>mRNA therapeutics, cancer immunotherapy, gene therapy, protein replacement, delivery systems, lipid nanoparticles, rare genetic disorders, regenerative medicine, self-amplifying RNA, circular RNA, personalized medicine</w:t>
            </w:r>
          </w:p>
        </w:tc>
      </w:tr>
      <w:bookmarkEnd w:id="1"/>
    </w:tbl>
    <w:p w14:paraId="4B7201E8" w14:textId="77777777" w:rsidR="00D80931" w:rsidRDefault="00D80931" w:rsidP="00D80931">
      <w:pPr>
        <w:pStyle w:val="NormalWeb"/>
        <w:shd w:val="clear" w:color="auto" w:fill="FFFFFF"/>
        <w:spacing w:before="120" w:beforeAutospacing="0" w:after="120" w:afterAutospacing="0"/>
        <w:jc w:val="both"/>
        <w:rPr>
          <w:b/>
          <w:bCs/>
          <w:color w:val="000000"/>
          <w:sz w:val="22"/>
          <w:szCs w:val="22"/>
        </w:rPr>
      </w:pPr>
    </w:p>
    <w:p w14:paraId="630912A4" w14:textId="7777D6A2" w:rsidR="00DC4379" w:rsidRPr="00EA1F5E" w:rsidRDefault="00DC4379" w:rsidP="00DC4379">
      <w:pPr>
        <w:pStyle w:val="NormalWeb"/>
        <w:numPr>
          <w:ilvl w:val="0"/>
          <w:numId w:val="27"/>
        </w:numPr>
        <w:shd w:val="clear" w:color="auto" w:fill="FFFFFF"/>
        <w:spacing w:before="120" w:beforeAutospacing="0" w:after="120" w:afterAutospacing="0"/>
        <w:ind w:left="274" w:hanging="274"/>
        <w:jc w:val="both"/>
        <w:rPr>
          <w:b/>
          <w:bCs/>
          <w:color w:val="000000"/>
          <w:sz w:val="22"/>
          <w:szCs w:val="22"/>
        </w:rPr>
      </w:pPr>
      <w:r w:rsidRPr="00EA1F5E">
        <w:rPr>
          <w:b/>
          <w:bCs/>
          <w:color w:val="000000"/>
          <w:sz w:val="22"/>
          <w:szCs w:val="22"/>
        </w:rPr>
        <w:t>INTRODUCTION</w:t>
      </w:r>
    </w:p>
    <w:p w14:paraId="39B7BB00" w14:textId="77777777" w:rsidR="00AE582E" w:rsidRPr="00AE582E" w:rsidRDefault="00AE582E" w:rsidP="000C21AB">
      <w:pPr>
        <w:pStyle w:val="NormalWeb"/>
        <w:shd w:val="clear" w:color="auto" w:fill="FFFFFF"/>
        <w:spacing w:before="120" w:beforeAutospacing="0" w:after="120" w:afterAutospacing="0"/>
        <w:jc w:val="both"/>
        <w:rPr>
          <w:color w:val="000000"/>
          <w:sz w:val="20"/>
          <w:szCs w:val="20"/>
        </w:rPr>
      </w:pPr>
      <w:r w:rsidRPr="00AE582E">
        <w:rPr>
          <w:color w:val="000000"/>
          <w:sz w:val="20"/>
          <w:szCs w:val="20"/>
        </w:rPr>
        <w:t>The triumph of mRNA-based COVID-19 vaccines spotlighted mRNA as a versatile platform for medical applications. Unlike DNA-based therapies, mRNA does not integrate into the host genome, providing transient yet potent protein expression. Its adaptability, scalability, and favourable safety profile make mRNA a promising tool across various therapeutic domains (</w:t>
      </w:r>
      <w:proofErr w:type="spellStart"/>
      <w:r w:rsidRPr="00AE582E">
        <w:rPr>
          <w:color w:val="000000"/>
          <w:sz w:val="20"/>
          <w:szCs w:val="20"/>
        </w:rPr>
        <w:t>Pardi</w:t>
      </w:r>
      <w:proofErr w:type="spellEnd"/>
      <w:r w:rsidRPr="00AE582E">
        <w:rPr>
          <w:color w:val="000000"/>
          <w:sz w:val="20"/>
          <w:szCs w:val="20"/>
        </w:rPr>
        <w:t xml:space="preserve"> et al., 2018; </w:t>
      </w:r>
      <w:proofErr w:type="spellStart"/>
      <w:r w:rsidRPr="00AE582E">
        <w:rPr>
          <w:color w:val="000000"/>
          <w:sz w:val="20"/>
          <w:szCs w:val="20"/>
        </w:rPr>
        <w:t>Sahin</w:t>
      </w:r>
      <w:proofErr w:type="spellEnd"/>
      <w:r w:rsidRPr="00AE582E">
        <w:rPr>
          <w:color w:val="000000"/>
          <w:sz w:val="20"/>
          <w:szCs w:val="20"/>
        </w:rPr>
        <w:t xml:space="preserve"> et al., 2014).</w:t>
      </w:r>
    </w:p>
    <w:p w14:paraId="2ADA536B" w14:textId="588DD221" w:rsidR="00AF4D87" w:rsidRPr="00AF4D87" w:rsidRDefault="00AE582E" w:rsidP="000C21AB">
      <w:pPr>
        <w:pStyle w:val="NormalWeb"/>
        <w:shd w:val="clear" w:color="auto" w:fill="FFFFFF"/>
        <w:spacing w:before="120" w:beforeAutospacing="0" w:after="120" w:afterAutospacing="0"/>
        <w:jc w:val="both"/>
        <w:rPr>
          <w:color w:val="000000"/>
          <w:sz w:val="20"/>
          <w:szCs w:val="20"/>
        </w:rPr>
      </w:pPr>
      <w:r w:rsidRPr="00AE582E">
        <w:rPr>
          <w:color w:val="000000"/>
          <w:sz w:val="20"/>
          <w:szCs w:val="20"/>
        </w:rPr>
        <w:t>The advent of synthetic mRNA technologies has spurred a renaissance in genetic medicine, offering solutions not just for prophylactic use, but for treating complex and chronic diseases. With advances in codon optimization, regulatory elements, and delivery vehicles, mRNA therapeutics now cover a spectrum of applications, from cancer immunotherapies to enzyme replacement therapies and tissue regeneration. The increasing number of clinical trials underscores the momentum in this field, positioning mRNA as a transformative platform for personalized and precision medicine</w:t>
      </w:r>
      <w:r w:rsidR="00AF4D87" w:rsidRPr="00AF4D87">
        <w:rPr>
          <w:color w:val="000000"/>
          <w:sz w:val="20"/>
          <w:szCs w:val="20"/>
        </w:rPr>
        <w:t>.</w:t>
      </w:r>
    </w:p>
    <w:p w14:paraId="38F27958" w14:textId="0DB19B75" w:rsidR="00F45C76" w:rsidRPr="00DE5679" w:rsidRDefault="00AE582E" w:rsidP="000C21AB">
      <w:pPr>
        <w:pStyle w:val="NormalWeb"/>
        <w:numPr>
          <w:ilvl w:val="0"/>
          <w:numId w:val="27"/>
        </w:numPr>
        <w:shd w:val="clear" w:color="auto" w:fill="FFFFFF"/>
        <w:spacing w:before="120" w:beforeAutospacing="0" w:after="120" w:afterAutospacing="0"/>
        <w:ind w:left="274" w:hanging="274"/>
        <w:jc w:val="both"/>
        <w:rPr>
          <w:b/>
          <w:bCs/>
          <w:color w:val="000000"/>
          <w:sz w:val="22"/>
          <w:szCs w:val="22"/>
        </w:rPr>
      </w:pPr>
      <w:r w:rsidRPr="00AE582E">
        <w:rPr>
          <w:b/>
          <w:bCs/>
          <w:color w:val="000000"/>
          <w:sz w:val="22"/>
          <w:szCs w:val="22"/>
        </w:rPr>
        <w:t>MECHANISM OF ACTION</w:t>
      </w:r>
    </w:p>
    <w:p w14:paraId="547DD3D2" w14:textId="43F6D98D" w:rsidR="00AE582E" w:rsidRPr="00AE582E" w:rsidRDefault="00AE582E" w:rsidP="000C21AB">
      <w:pPr>
        <w:spacing w:before="120" w:after="120" w:line="240" w:lineRule="auto"/>
        <w:jc w:val="both"/>
        <w:rPr>
          <w:rFonts w:ascii="Times New Roman" w:hAnsi="Times New Roman" w:cs="Times New Roman"/>
          <w:sz w:val="20"/>
          <w:szCs w:val="20"/>
          <w:lang w:eastAsia="en-IN"/>
        </w:rPr>
      </w:pPr>
      <w:r w:rsidRPr="00AE582E">
        <w:rPr>
          <w:rFonts w:ascii="Times New Roman" w:hAnsi="Times New Roman" w:cs="Times New Roman"/>
          <w:sz w:val="20"/>
          <w:szCs w:val="20"/>
          <w:lang w:eastAsia="en-IN"/>
        </w:rPr>
        <w:t xml:space="preserve">Synthetic mRNA, once introduced into the cytoplasm, is translated into functional proteins by ribosomes through the host's translational machinery. This transient expression allows for precise temporal control over protein production. To protect the mRNA from extracellular RNases and facilitate cellular uptake, delivery systems—primarily lipid nanoparticles (LNPs)—encapsulate the mRNA (Hou et al., 2021). Once internalized, the LNPs </w:t>
      </w:r>
      <w:r w:rsidRPr="00AE582E">
        <w:rPr>
          <w:rFonts w:ascii="Times New Roman" w:hAnsi="Times New Roman" w:cs="Times New Roman"/>
          <w:sz w:val="20"/>
          <w:szCs w:val="20"/>
          <w:lang w:eastAsia="en-IN"/>
        </w:rPr>
        <w:lastRenderedPageBreak/>
        <w:t>undergo endocytosis, and the mRNA is released into the cytosol where translation occurs.</w:t>
      </w:r>
      <w:r w:rsidR="000C21AB">
        <w:rPr>
          <w:rFonts w:ascii="Times New Roman" w:hAnsi="Times New Roman" w:cs="Times New Roman"/>
          <w:sz w:val="20"/>
          <w:szCs w:val="20"/>
          <w:lang w:eastAsia="en-IN"/>
        </w:rPr>
        <w:t xml:space="preserve"> </w:t>
      </w:r>
      <w:r w:rsidRPr="00AE582E">
        <w:rPr>
          <w:rFonts w:ascii="Times New Roman" w:hAnsi="Times New Roman" w:cs="Times New Roman"/>
          <w:sz w:val="20"/>
          <w:szCs w:val="20"/>
          <w:lang w:eastAsia="en-IN"/>
        </w:rPr>
        <w:t>Key to optimizing translation and minimizing immune activation are chemical modifications of the mRNA, including the substitution of uridine with pseudo uridine or N1-methyl-pseudouridine, which reduce recognition by innate immune sensors such as Toll-like receptors and retinoic acid-inducible gene I (RIG-I), thereby decreasing immunogenicity and increasing stability (</w:t>
      </w:r>
      <w:proofErr w:type="spellStart"/>
      <w:r w:rsidRPr="00AE582E">
        <w:rPr>
          <w:rFonts w:ascii="Times New Roman" w:hAnsi="Times New Roman" w:cs="Times New Roman"/>
          <w:sz w:val="20"/>
          <w:szCs w:val="20"/>
          <w:lang w:eastAsia="en-IN"/>
        </w:rPr>
        <w:t>Karikó</w:t>
      </w:r>
      <w:proofErr w:type="spellEnd"/>
      <w:r w:rsidRPr="00AE582E">
        <w:rPr>
          <w:rFonts w:ascii="Times New Roman" w:hAnsi="Times New Roman" w:cs="Times New Roman"/>
          <w:sz w:val="20"/>
          <w:szCs w:val="20"/>
          <w:lang w:eastAsia="en-IN"/>
        </w:rPr>
        <w:t xml:space="preserve"> et al., 2005; </w:t>
      </w:r>
      <w:proofErr w:type="spellStart"/>
      <w:r w:rsidRPr="00AE582E">
        <w:rPr>
          <w:rFonts w:ascii="Times New Roman" w:hAnsi="Times New Roman" w:cs="Times New Roman"/>
          <w:sz w:val="20"/>
          <w:szCs w:val="20"/>
          <w:lang w:eastAsia="en-IN"/>
        </w:rPr>
        <w:t>Pardi</w:t>
      </w:r>
      <w:proofErr w:type="spellEnd"/>
      <w:r w:rsidRPr="00AE582E">
        <w:rPr>
          <w:rFonts w:ascii="Times New Roman" w:hAnsi="Times New Roman" w:cs="Times New Roman"/>
          <w:sz w:val="20"/>
          <w:szCs w:val="20"/>
          <w:lang w:eastAsia="en-IN"/>
        </w:rPr>
        <w:t xml:space="preserve"> et al., 2018).</w:t>
      </w:r>
    </w:p>
    <w:p w14:paraId="7A33F441" w14:textId="77777777" w:rsidR="00AE582E" w:rsidRDefault="00AE582E" w:rsidP="00AE582E">
      <w:pPr>
        <w:spacing w:before="120" w:after="120" w:line="240" w:lineRule="auto"/>
        <w:jc w:val="both"/>
        <w:rPr>
          <w:rFonts w:ascii="Times New Roman" w:hAnsi="Times New Roman" w:cs="Times New Roman"/>
          <w:sz w:val="20"/>
          <w:szCs w:val="20"/>
          <w:lang w:eastAsia="en-IN"/>
        </w:rPr>
      </w:pPr>
      <w:r w:rsidRPr="00AE582E">
        <w:rPr>
          <w:rFonts w:ascii="Times New Roman" w:hAnsi="Times New Roman" w:cs="Times New Roman"/>
          <w:sz w:val="20"/>
          <w:szCs w:val="20"/>
          <w:lang w:eastAsia="en-IN"/>
        </w:rPr>
        <w:t>Further refinements involve engineering of untranslated regions (UTRs) to modulate transcript stability and translational efficiency, the inclusion of a 5’ cap structure (cap 1) to recruit eukaryotic initiation factors (</w:t>
      </w:r>
      <w:proofErr w:type="spellStart"/>
      <w:r w:rsidRPr="00AE582E">
        <w:rPr>
          <w:rFonts w:ascii="Times New Roman" w:hAnsi="Times New Roman" w:cs="Times New Roman"/>
          <w:sz w:val="20"/>
          <w:szCs w:val="20"/>
          <w:lang w:eastAsia="en-IN"/>
        </w:rPr>
        <w:t>eIFs</w:t>
      </w:r>
      <w:proofErr w:type="spellEnd"/>
      <w:r w:rsidRPr="00AE582E">
        <w:rPr>
          <w:rFonts w:ascii="Times New Roman" w:hAnsi="Times New Roman" w:cs="Times New Roman"/>
          <w:sz w:val="20"/>
          <w:szCs w:val="20"/>
          <w:lang w:eastAsia="en-IN"/>
        </w:rPr>
        <w:t>), and the incorporation of a poly(A) tail to prolong mRNA half-life and enhance ribosomal recycling. These optimizations collectively ensure robust and sustained protein production following administration.</w:t>
      </w:r>
    </w:p>
    <w:p w14:paraId="1A2A9443" w14:textId="6E867CA5" w:rsidR="00AE582E" w:rsidRPr="00AE582E" w:rsidRDefault="00AE582E" w:rsidP="00AE582E">
      <w:pPr>
        <w:spacing w:before="120" w:after="120" w:line="240" w:lineRule="auto"/>
        <w:jc w:val="center"/>
        <w:rPr>
          <w:rFonts w:ascii="Times New Roman" w:hAnsi="Times New Roman" w:cs="Times New Roman"/>
          <w:sz w:val="20"/>
          <w:szCs w:val="20"/>
          <w:lang w:eastAsia="en-IN"/>
        </w:rPr>
      </w:pPr>
      <w:r w:rsidRPr="00AE582E">
        <w:rPr>
          <w:rFonts w:ascii="Times New Roman" w:hAnsi="Times New Roman" w:cs="Times New Roman"/>
          <w:noProof/>
          <w:sz w:val="20"/>
          <w:lang w:val="en-US"/>
        </w:rPr>
        <w:drawing>
          <wp:inline distT="0" distB="0" distL="0" distR="0" wp14:anchorId="3868A986" wp14:editId="1FC361E9">
            <wp:extent cx="3514725" cy="2343019"/>
            <wp:effectExtent l="0" t="0" r="0" b="635"/>
            <wp:docPr id="8984235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4389" cy="2356128"/>
                    </a:xfrm>
                    <a:prstGeom prst="rect">
                      <a:avLst/>
                    </a:prstGeom>
                    <a:noFill/>
                    <a:ln>
                      <a:noFill/>
                    </a:ln>
                  </pic:spPr>
                </pic:pic>
              </a:graphicData>
            </a:graphic>
          </wp:inline>
        </w:drawing>
      </w:r>
    </w:p>
    <w:p w14:paraId="07DA6F08" w14:textId="2C110DFF" w:rsidR="00DE2980" w:rsidRDefault="00AE582E" w:rsidP="00AE582E">
      <w:pPr>
        <w:spacing w:before="120" w:after="120" w:line="240" w:lineRule="auto"/>
        <w:jc w:val="center"/>
        <w:rPr>
          <w:rFonts w:ascii="Times New Roman" w:hAnsi="Times New Roman" w:cs="Times New Roman"/>
          <w:i/>
          <w:sz w:val="20"/>
          <w:szCs w:val="20"/>
          <w:lang w:eastAsia="en-IN"/>
        </w:rPr>
      </w:pPr>
      <w:r w:rsidRPr="00AE582E">
        <w:rPr>
          <w:rFonts w:ascii="Times New Roman" w:hAnsi="Times New Roman" w:cs="Times New Roman"/>
          <w:b/>
          <w:sz w:val="20"/>
          <w:szCs w:val="20"/>
          <w:lang w:eastAsia="en-IN"/>
        </w:rPr>
        <w:t>Figure.</w:t>
      </w:r>
      <w:r>
        <w:rPr>
          <w:rFonts w:ascii="Times New Roman" w:hAnsi="Times New Roman" w:cs="Times New Roman"/>
          <w:sz w:val="20"/>
          <w:szCs w:val="20"/>
          <w:lang w:eastAsia="en-IN"/>
        </w:rPr>
        <w:t xml:space="preserve"> </w:t>
      </w:r>
      <w:r w:rsidRPr="00AE582E">
        <w:rPr>
          <w:rFonts w:ascii="Times New Roman" w:hAnsi="Times New Roman" w:cs="Times New Roman"/>
          <w:i/>
          <w:sz w:val="20"/>
          <w:szCs w:val="20"/>
          <w:lang w:eastAsia="en-IN"/>
        </w:rPr>
        <w:t>Mechanism of mRNA Therapeutics: from encapsulation to protein translation.</w:t>
      </w:r>
    </w:p>
    <w:p w14:paraId="5E864DBB" w14:textId="56E3C8F4" w:rsidR="00AE582E" w:rsidRPr="00AE582E" w:rsidRDefault="00AE582E" w:rsidP="00AE582E">
      <w:pPr>
        <w:pStyle w:val="NormalWeb"/>
        <w:numPr>
          <w:ilvl w:val="0"/>
          <w:numId w:val="27"/>
        </w:numPr>
        <w:shd w:val="clear" w:color="auto" w:fill="FFFFFF"/>
        <w:spacing w:before="120" w:beforeAutospacing="0" w:after="120" w:afterAutospacing="0"/>
        <w:ind w:left="274" w:hanging="274"/>
        <w:jc w:val="both"/>
        <w:rPr>
          <w:b/>
          <w:bCs/>
          <w:color w:val="000000"/>
          <w:sz w:val="22"/>
          <w:szCs w:val="22"/>
        </w:rPr>
      </w:pPr>
      <w:r w:rsidRPr="00AE582E">
        <w:rPr>
          <w:b/>
          <w:bCs/>
          <w:color w:val="000000"/>
          <w:sz w:val="22"/>
          <w:szCs w:val="22"/>
        </w:rPr>
        <w:t>DELIVERY TECHNOLOGIES</w:t>
      </w:r>
    </w:p>
    <w:p w14:paraId="6160F38F" w14:textId="77777777" w:rsidR="00AE582E" w:rsidRPr="00AE582E" w:rsidRDefault="00AE582E" w:rsidP="00AE582E">
      <w:pPr>
        <w:tabs>
          <w:tab w:val="left" w:pos="525"/>
        </w:tabs>
        <w:spacing w:before="120" w:after="120" w:line="240" w:lineRule="auto"/>
        <w:jc w:val="both"/>
        <w:rPr>
          <w:rFonts w:ascii="Times New Roman" w:hAnsi="Times New Roman" w:cs="Times New Roman"/>
          <w:sz w:val="20"/>
          <w:szCs w:val="20"/>
          <w:lang w:eastAsia="en-IN"/>
        </w:rPr>
      </w:pPr>
      <w:r w:rsidRPr="00AE582E">
        <w:rPr>
          <w:rFonts w:ascii="Times New Roman" w:hAnsi="Times New Roman" w:cs="Times New Roman"/>
          <w:sz w:val="20"/>
          <w:szCs w:val="20"/>
          <w:lang w:eastAsia="en-IN"/>
        </w:rPr>
        <w:t>Delivery remains one of the most critical challenges in the advancement of mRNA therapeutics. Naked mRNA is inherently unstable, prone to rapid degradation by extracellular RNases, and has limited ability to cross cellular membranes (</w:t>
      </w:r>
      <w:proofErr w:type="spellStart"/>
      <w:r w:rsidRPr="00AE582E">
        <w:rPr>
          <w:rFonts w:ascii="Times New Roman" w:hAnsi="Times New Roman" w:cs="Times New Roman"/>
          <w:sz w:val="20"/>
          <w:szCs w:val="20"/>
          <w:lang w:eastAsia="en-IN"/>
        </w:rPr>
        <w:t>Pardi</w:t>
      </w:r>
      <w:proofErr w:type="spellEnd"/>
      <w:r w:rsidRPr="00AE582E">
        <w:rPr>
          <w:rFonts w:ascii="Times New Roman" w:hAnsi="Times New Roman" w:cs="Times New Roman"/>
          <w:sz w:val="20"/>
          <w:szCs w:val="20"/>
          <w:lang w:eastAsia="en-IN"/>
        </w:rPr>
        <w:t xml:space="preserve"> et al., 2018). Therefore, delivery systems must fulfil several key roles: protecting the mRNA from enzymatic degradation, facilitating efficient cellular uptake, enabling endosomal escape to release mRNA into the cytoplasm, and ensuring targeted delivery to specific tissues or cell types.</w:t>
      </w:r>
    </w:p>
    <w:p w14:paraId="5F6C9767" w14:textId="77777777" w:rsidR="00AE582E" w:rsidRPr="00AE582E" w:rsidRDefault="00AE582E" w:rsidP="00AE582E">
      <w:pPr>
        <w:tabs>
          <w:tab w:val="left" w:pos="525"/>
        </w:tabs>
        <w:spacing w:before="120" w:after="120" w:line="240" w:lineRule="auto"/>
        <w:jc w:val="both"/>
        <w:rPr>
          <w:rFonts w:ascii="Times New Roman" w:hAnsi="Times New Roman" w:cs="Times New Roman"/>
          <w:sz w:val="20"/>
          <w:szCs w:val="20"/>
          <w:lang w:eastAsia="en-IN"/>
        </w:rPr>
      </w:pPr>
      <w:r w:rsidRPr="00AE582E">
        <w:rPr>
          <w:rFonts w:ascii="Times New Roman" w:hAnsi="Times New Roman" w:cs="Times New Roman"/>
          <w:sz w:val="20"/>
          <w:szCs w:val="20"/>
          <w:lang w:eastAsia="en-IN"/>
        </w:rPr>
        <w:t>Lipid nanoparticles (LNPs) are currently the most widely used delivery vehicles and were instrumental in the success of COVID-19 mRNA vaccines. LNPs typically consist of ionizable lipids, cholesterol, phospholipids, and polyethylene glycol (PEG)-lipids, which together encapsulate the mRNA and aid in cellular uptake through endocytosis (Hou et al., 2021). Once internalized, the acidic environment of the endosome causes protonation of the ionizable lipids, leading to membrane destabilization and release of the mRNA into the cytosol.</w:t>
      </w:r>
    </w:p>
    <w:p w14:paraId="3AA06960" w14:textId="37DFD971" w:rsidR="00AE582E" w:rsidRDefault="00AE582E" w:rsidP="00AE582E">
      <w:pPr>
        <w:tabs>
          <w:tab w:val="left" w:pos="525"/>
        </w:tabs>
        <w:spacing w:before="120" w:after="120" w:line="240" w:lineRule="auto"/>
        <w:jc w:val="both"/>
        <w:rPr>
          <w:rFonts w:ascii="Times New Roman" w:hAnsi="Times New Roman" w:cs="Times New Roman"/>
          <w:sz w:val="20"/>
          <w:szCs w:val="20"/>
          <w:lang w:eastAsia="en-IN"/>
        </w:rPr>
      </w:pPr>
      <w:r w:rsidRPr="00AE582E">
        <w:rPr>
          <w:rFonts w:ascii="Times New Roman" w:hAnsi="Times New Roman" w:cs="Times New Roman"/>
          <w:sz w:val="20"/>
          <w:szCs w:val="20"/>
          <w:lang w:eastAsia="en-IN"/>
        </w:rPr>
        <w:t xml:space="preserve">Despite their efficacy, LNPs exhibit preferential accumulation in the liver, limiting their use for other tissue targets. Consequently, novel strategies are under development to expand tissue tropism and reduce immunogenicity. These include polymeric nanoparticles, which offer </w:t>
      </w:r>
      <w:proofErr w:type="spellStart"/>
      <w:r w:rsidRPr="00AE582E">
        <w:rPr>
          <w:rFonts w:ascii="Times New Roman" w:hAnsi="Times New Roman" w:cs="Times New Roman"/>
          <w:sz w:val="20"/>
          <w:szCs w:val="20"/>
          <w:lang w:eastAsia="en-IN"/>
        </w:rPr>
        <w:t>tunable</w:t>
      </w:r>
      <w:proofErr w:type="spellEnd"/>
      <w:r w:rsidRPr="00AE582E">
        <w:rPr>
          <w:rFonts w:ascii="Times New Roman" w:hAnsi="Times New Roman" w:cs="Times New Roman"/>
          <w:sz w:val="20"/>
          <w:szCs w:val="20"/>
          <w:lang w:eastAsia="en-IN"/>
        </w:rPr>
        <w:t xml:space="preserve"> degradation and release profiles (Verbeke et al., 2021), and extracellular vesicles like exosomes, which provide natural biocompatibility and the potential for targeted delivery, particularly to the central nervous </w:t>
      </w:r>
      <w:r w:rsidR="000C21AB">
        <w:rPr>
          <w:rFonts w:ascii="Times New Roman" w:hAnsi="Times New Roman" w:cs="Times New Roman"/>
          <w:sz w:val="20"/>
          <w:szCs w:val="20"/>
          <w:lang w:eastAsia="en-IN"/>
        </w:rPr>
        <w:t>system (</w:t>
      </w:r>
      <w:proofErr w:type="spellStart"/>
      <w:r w:rsidR="000C21AB">
        <w:rPr>
          <w:rFonts w:ascii="Times New Roman" w:hAnsi="Times New Roman" w:cs="Times New Roman"/>
          <w:sz w:val="20"/>
          <w:szCs w:val="20"/>
          <w:lang w:eastAsia="en-IN"/>
        </w:rPr>
        <w:t>Kamerkar</w:t>
      </w:r>
      <w:proofErr w:type="spellEnd"/>
      <w:r w:rsidR="000C21AB">
        <w:rPr>
          <w:rFonts w:ascii="Times New Roman" w:hAnsi="Times New Roman" w:cs="Times New Roman"/>
          <w:sz w:val="20"/>
          <w:szCs w:val="20"/>
          <w:lang w:eastAsia="en-IN"/>
        </w:rPr>
        <w:t xml:space="preserve"> et al., 2017). </w:t>
      </w:r>
      <w:r w:rsidRPr="00AE582E">
        <w:rPr>
          <w:rFonts w:ascii="Times New Roman" w:hAnsi="Times New Roman" w:cs="Times New Roman"/>
          <w:sz w:val="20"/>
          <w:szCs w:val="20"/>
          <w:lang w:eastAsia="en-IN"/>
        </w:rPr>
        <w:t>Additional innovations such as charge-altering releasable transporters (CARTs), peptide-based delivery systems, and stimuli-responsive hydrogels are being investigated to enhance tissue specificity and enable localized delivery. These platforms can allow repeated dosing and improved safety profiles by reducing off-target effects and minimizing systemic toxicity (Islam et al., 2021).</w:t>
      </w:r>
    </w:p>
    <w:tbl>
      <w:tblPr>
        <w:tblStyle w:val="TableGrid"/>
        <w:tblW w:w="5000" w:type="pct"/>
        <w:tblLook w:val="04A0" w:firstRow="1" w:lastRow="0" w:firstColumn="1" w:lastColumn="0" w:noHBand="0" w:noVBand="1"/>
      </w:tblPr>
      <w:tblGrid>
        <w:gridCol w:w="2690"/>
        <w:gridCol w:w="1535"/>
        <w:gridCol w:w="1711"/>
        <w:gridCol w:w="1785"/>
        <w:gridCol w:w="1295"/>
      </w:tblGrid>
      <w:tr w:rsidR="00AE582E" w:rsidRPr="00AE582E" w14:paraId="7E806AE0" w14:textId="77777777" w:rsidTr="00AE582E">
        <w:tc>
          <w:tcPr>
            <w:tcW w:w="1492" w:type="pct"/>
          </w:tcPr>
          <w:p w14:paraId="0713A2DB"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b/>
                <w:bCs/>
                <w:sz w:val="20"/>
              </w:rPr>
              <w:t>Delivery Platform</w:t>
            </w:r>
          </w:p>
        </w:tc>
        <w:tc>
          <w:tcPr>
            <w:tcW w:w="851" w:type="pct"/>
          </w:tcPr>
          <w:p w14:paraId="175B4FFA"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b/>
                <w:bCs/>
                <w:sz w:val="20"/>
              </w:rPr>
              <w:t>Efficacy (%)</w:t>
            </w:r>
          </w:p>
        </w:tc>
        <w:tc>
          <w:tcPr>
            <w:tcW w:w="949" w:type="pct"/>
          </w:tcPr>
          <w:p w14:paraId="2517E7F0"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b/>
                <w:bCs/>
                <w:sz w:val="20"/>
              </w:rPr>
              <w:t>Toxicity Index</w:t>
            </w:r>
          </w:p>
        </w:tc>
        <w:tc>
          <w:tcPr>
            <w:tcW w:w="990" w:type="pct"/>
          </w:tcPr>
          <w:p w14:paraId="2129ABEB"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b/>
                <w:bCs/>
                <w:sz w:val="20"/>
              </w:rPr>
              <w:t>Preferred Target</w:t>
            </w:r>
          </w:p>
        </w:tc>
        <w:tc>
          <w:tcPr>
            <w:tcW w:w="718" w:type="pct"/>
          </w:tcPr>
          <w:p w14:paraId="56B52605"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b/>
                <w:bCs/>
                <w:sz w:val="20"/>
              </w:rPr>
              <w:t>Status</w:t>
            </w:r>
          </w:p>
        </w:tc>
      </w:tr>
      <w:tr w:rsidR="00AE582E" w:rsidRPr="00AE582E" w14:paraId="47FDA588" w14:textId="77777777" w:rsidTr="00AE582E">
        <w:tc>
          <w:tcPr>
            <w:tcW w:w="1492" w:type="pct"/>
          </w:tcPr>
          <w:p w14:paraId="1F910425" w14:textId="77777777" w:rsidR="00AE582E" w:rsidRPr="00AE582E" w:rsidRDefault="00AE582E" w:rsidP="00AE582E">
            <w:pPr>
              <w:jc w:val="center"/>
              <w:rPr>
                <w:rFonts w:ascii="Times New Roman" w:hAnsi="Times New Roman" w:cs="Times New Roman"/>
                <w:bCs/>
                <w:sz w:val="20"/>
              </w:rPr>
            </w:pPr>
            <w:r w:rsidRPr="00AE582E">
              <w:rPr>
                <w:rFonts w:ascii="Times New Roman" w:hAnsi="Times New Roman" w:cs="Times New Roman"/>
                <w:bCs/>
                <w:sz w:val="20"/>
              </w:rPr>
              <w:t>Lipid Nanoparticles (LNPs)</w:t>
            </w:r>
          </w:p>
        </w:tc>
        <w:tc>
          <w:tcPr>
            <w:tcW w:w="851" w:type="pct"/>
          </w:tcPr>
          <w:p w14:paraId="1958C128"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90</w:t>
            </w:r>
          </w:p>
        </w:tc>
        <w:tc>
          <w:tcPr>
            <w:tcW w:w="949" w:type="pct"/>
          </w:tcPr>
          <w:p w14:paraId="7CF6DA78"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20</w:t>
            </w:r>
          </w:p>
        </w:tc>
        <w:tc>
          <w:tcPr>
            <w:tcW w:w="990" w:type="pct"/>
          </w:tcPr>
          <w:p w14:paraId="25281D9D"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 xml:space="preserve">Liver </w:t>
            </w:r>
          </w:p>
        </w:tc>
        <w:tc>
          <w:tcPr>
            <w:tcW w:w="718" w:type="pct"/>
            <w:vAlign w:val="center"/>
          </w:tcPr>
          <w:p w14:paraId="0F04D8CB"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Clinical</w:t>
            </w:r>
          </w:p>
        </w:tc>
      </w:tr>
      <w:tr w:rsidR="00AE582E" w:rsidRPr="00AE582E" w14:paraId="0F8D7A51" w14:textId="77777777" w:rsidTr="00AE582E">
        <w:tc>
          <w:tcPr>
            <w:tcW w:w="1492" w:type="pct"/>
          </w:tcPr>
          <w:p w14:paraId="68C43EAD" w14:textId="77777777" w:rsidR="00AE582E" w:rsidRPr="00AE582E" w:rsidRDefault="00AE582E" w:rsidP="00AE582E">
            <w:pPr>
              <w:jc w:val="center"/>
              <w:rPr>
                <w:rFonts w:ascii="Times New Roman" w:hAnsi="Times New Roman" w:cs="Times New Roman"/>
                <w:bCs/>
                <w:sz w:val="20"/>
              </w:rPr>
            </w:pPr>
            <w:r w:rsidRPr="00AE582E">
              <w:rPr>
                <w:rFonts w:ascii="Times New Roman" w:hAnsi="Times New Roman" w:cs="Times New Roman"/>
                <w:bCs/>
                <w:sz w:val="20"/>
              </w:rPr>
              <w:t>Polymeric Nanoparticles</w:t>
            </w:r>
          </w:p>
        </w:tc>
        <w:tc>
          <w:tcPr>
            <w:tcW w:w="851" w:type="pct"/>
          </w:tcPr>
          <w:p w14:paraId="4BA55EBE"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75</w:t>
            </w:r>
          </w:p>
        </w:tc>
        <w:tc>
          <w:tcPr>
            <w:tcW w:w="949" w:type="pct"/>
          </w:tcPr>
          <w:p w14:paraId="22308E72"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30</w:t>
            </w:r>
          </w:p>
        </w:tc>
        <w:tc>
          <w:tcPr>
            <w:tcW w:w="990" w:type="pct"/>
          </w:tcPr>
          <w:p w14:paraId="3BD562B6" w14:textId="77777777" w:rsidR="00AE582E" w:rsidRPr="00AE582E" w:rsidRDefault="00AE582E" w:rsidP="00AE582E">
            <w:pPr>
              <w:jc w:val="center"/>
              <w:rPr>
                <w:rFonts w:ascii="Times New Roman" w:hAnsi="Times New Roman" w:cs="Times New Roman"/>
                <w:sz w:val="20"/>
              </w:rPr>
            </w:pPr>
            <w:proofErr w:type="spellStart"/>
            <w:r w:rsidRPr="00AE582E">
              <w:rPr>
                <w:rFonts w:ascii="Times New Roman" w:hAnsi="Times New Roman" w:cs="Times New Roman"/>
                <w:sz w:val="20"/>
              </w:rPr>
              <w:t>Tumors</w:t>
            </w:r>
            <w:proofErr w:type="spellEnd"/>
          </w:p>
        </w:tc>
        <w:tc>
          <w:tcPr>
            <w:tcW w:w="718" w:type="pct"/>
            <w:vAlign w:val="center"/>
          </w:tcPr>
          <w:p w14:paraId="0438BBE9"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Preclinical</w:t>
            </w:r>
          </w:p>
        </w:tc>
      </w:tr>
      <w:tr w:rsidR="00AE582E" w:rsidRPr="00AE582E" w14:paraId="0B119982" w14:textId="77777777" w:rsidTr="00AE582E">
        <w:tc>
          <w:tcPr>
            <w:tcW w:w="1492" w:type="pct"/>
          </w:tcPr>
          <w:p w14:paraId="419A3065" w14:textId="77777777" w:rsidR="00AE582E" w:rsidRPr="00AE582E" w:rsidRDefault="00AE582E" w:rsidP="00AE582E">
            <w:pPr>
              <w:jc w:val="center"/>
              <w:rPr>
                <w:rFonts w:ascii="Times New Roman" w:hAnsi="Times New Roman" w:cs="Times New Roman"/>
                <w:bCs/>
                <w:sz w:val="20"/>
              </w:rPr>
            </w:pPr>
            <w:r w:rsidRPr="00AE582E">
              <w:rPr>
                <w:rFonts w:ascii="Times New Roman" w:hAnsi="Times New Roman" w:cs="Times New Roman"/>
                <w:bCs/>
                <w:sz w:val="20"/>
              </w:rPr>
              <w:t>Exosomes</w:t>
            </w:r>
          </w:p>
        </w:tc>
        <w:tc>
          <w:tcPr>
            <w:tcW w:w="851" w:type="pct"/>
          </w:tcPr>
          <w:p w14:paraId="533F6AA8"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60</w:t>
            </w:r>
          </w:p>
        </w:tc>
        <w:tc>
          <w:tcPr>
            <w:tcW w:w="949" w:type="pct"/>
          </w:tcPr>
          <w:p w14:paraId="42EB9250"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10</w:t>
            </w:r>
          </w:p>
        </w:tc>
        <w:tc>
          <w:tcPr>
            <w:tcW w:w="990" w:type="pct"/>
          </w:tcPr>
          <w:p w14:paraId="6258D463"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 xml:space="preserve">Neural </w:t>
            </w:r>
          </w:p>
        </w:tc>
        <w:tc>
          <w:tcPr>
            <w:tcW w:w="718" w:type="pct"/>
            <w:vAlign w:val="center"/>
          </w:tcPr>
          <w:p w14:paraId="04D8C531"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Experimental</w:t>
            </w:r>
          </w:p>
        </w:tc>
      </w:tr>
      <w:tr w:rsidR="00AE582E" w:rsidRPr="00AE582E" w14:paraId="0A6DF536" w14:textId="77777777" w:rsidTr="00AE582E">
        <w:tc>
          <w:tcPr>
            <w:tcW w:w="1492" w:type="pct"/>
          </w:tcPr>
          <w:p w14:paraId="3D3AC640" w14:textId="77777777" w:rsidR="00AE582E" w:rsidRPr="00AE582E" w:rsidRDefault="00AE582E" w:rsidP="00AE582E">
            <w:pPr>
              <w:jc w:val="center"/>
              <w:rPr>
                <w:rFonts w:ascii="Times New Roman" w:hAnsi="Times New Roman" w:cs="Times New Roman"/>
                <w:bCs/>
                <w:sz w:val="20"/>
              </w:rPr>
            </w:pPr>
            <w:r w:rsidRPr="00AE582E">
              <w:rPr>
                <w:rFonts w:ascii="Times New Roman" w:hAnsi="Times New Roman" w:cs="Times New Roman"/>
                <w:bCs/>
                <w:sz w:val="20"/>
              </w:rPr>
              <w:t xml:space="preserve">Hydrogels </w:t>
            </w:r>
          </w:p>
        </w:tc>
        <w:tc>
          <w:tcPr>
            <w:tcW w:w="851" w:type="pct"/>
          </w:tcPr>
          <w:p w14:paraId="12D45DAB"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70</w:t>
            </w:r>
          </w:p>
        </w:tc>
        <w:tc>
          <w:tcPr>
            <w:tcW w:w="949" w:type="pct"/>
          </w:tcPr>
          <w:p w14:paraId="781A297B"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15</w:t>
            </w:r>
          </w:p>
        </w:tc>
        <w:tc>
          <w:tcPr>
            <w:tcW w:w="990" w:type="pct"/>
          </w:tcPr>
          <w:p w14:paraId="1EB65503"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 xml:space="preserve">Local tissues </w:t>
            </w:r>
          </w:p>
        </w:tc>
        <w:tc>
          <w:tcPr>
            <w:tcW w:w="718" w:type="pct"/>
            <w:vAlign w:val="center"/>
          </w:tcPr>
          <w:p w14:paraId="53E81B59"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Preclinical</w:t>
            </w:r>
          </w:p>
        </w:tc>
      </w:tr>
    </w:tbl>
    <w:p w14:paraId="74173E8A" w14:textId="77777777" w:rsidR="00AE582E" w:rsidRPr="00AE582E" w:rsidRDefault="00AE582E" w:rsidP="00AE582E">
      <w:pPr>
        <w:spacing w:before="120" w:after="120" w:line="240" w:lineRule="auto"/>
        <w:jc w:val="both"/>
        <w:rPr>
          <w:rFonts w:ascii="Times New Roman" w:hAnsi="Times New Roman" w:cs="Times New Roman"/>
          <w:sz w:val="20"/>
        </w:rPr>
      </w:pPr>
      <w:r w:rsidRPr="00AE582E">
        <w:rPr>
          <w:rFonts w:ascii="Times New Roman" w:hAnsi="Times New Roman" w:cs="Times New Roman"/>
          <w:sz w:val="20"/>
        </w:rPr>
        <w:t>Emerging strategies are also incorporating molecular ligands or antibodies on the surface of nanoparticles to facilitate receptor-mediated uptake by specific cell types, thereby enhancing precision targeting and reducing systemic exposure (Verbeke et al., 2021). As delivery technologies evolve, they will play a pivotal role in expanding the clinical utility of mRNA therapeutics beyond vaccines.</w:t>
      </w:r>
    </w:p>
    <w:p w14:paraId="3AC73BE7" w14:textId="77777777" w:rsidR="00AE582E" w:rsidRPr="00AE582E" w:rsidRDefault="00AE582E" w:rsidP="00AE582E">
      <w:pPr>
        <w:spacing w:before="120" w:after="120" w:line="240" w:lineRule="auto"/>
        <w:jc w:val="both"/>
        <w:rPr>
          <w:rFonts w:ascii="Times New Roman" w:hAnsi="Times New Roman" w:cs="Times New Roman"/>
          <w:sz w:val="20"/>
        </w:rPr>
      </w:pPr>
      <w:r w:rsidRPr="00AE582E">
        <w:rPr>
          <w:rFonts w:ascii="Times New Roman" w:hAnsi="Times New Roman" w:cs="Times New Roman"/>
          <w:sz w:val="20"/>
        </w:rPr>
        <w:lastRenderedPageBreak/>
        <w:t>Emerging delivery strategies include hybrid nanoparticles, peptide-based carriers, and charge-altering releasable transporters (CARTs). These technologies aim to enhance targeting specificity and allow for repeat administration without inducing immune tolerance or toxicity (Hou et al., 2021).</w:t>
      </w:r>
    </w:p>
    <w:p w14:paraId="0851EBDB" w14:textId="0BB851E7" w:rsidR="00AE582E" w:rsidRPr="00AE582E" w:rsidRDefault="00AE582E" w:rsidP="00AE582E">
      <w:pPr>
        <w:pStyle w:val="NormalWeb"/>
        <w:numPr>
          <w:ilvl w:val="0"/>
          <w:numId w:val="27"/>
        </w:numPr>
        <w:shd w:val="clear" w:color="auto" w:fill="FFFFFF"/>
        <w:spacing w:before="120" w:beforeAutospacing="0" w:after="120" w:afterAutospacing="0"/>
        <w:ind w:left="274" w:hanging="274"/>
        <w:jc w:val="both"/>
        <w:rPr>
          <w:b/>
          <w:bCs/>
          <w:color w:val="000000"/>
          <w:sz w:val="22"/>
          <w:szCs w:val="22"/>
        </w:rPr>
      </w:pPr>
      <w:r w:rsidRPr="00AE582E">
        <w:rPr>
          <w:b/>
          <w:bCs/>
          <w:color w:val="000000"/>
          <w:sz w:val="22"/>
          <w:szCs w:val="22"/>
        </w:rPr>
        <w:t>APPLICATIONS BEYOND VACCINES</w:t>
      </w:r>
    </w:p>
    <w:p w14:paraId="49D1E95B" w14:textId="77777777" w:rsidR="00AE582E" w:rsidRPr="00AE582E" w:rsidRDefault="00AE582E" w:rsidP="00AE582E">
      <w:pPr>
        <w:spacing w:before="120" w:after="120" w:line="240" w:lineRule="auto"/>
        <w:jc w:val="both"/>
        <w:rPr>
          <w:rFonts w:ascii="Times New Roman" w:hAnsi="Times New Roman" w:cs="Times New Roman"/>
          <w:sz w:val="20"/>
        </w:rPr>
      </w:pPr>
      <w:r w:rsidRPr="00AE582E">
        <w:rPr>
          <w:rFonts w:ascii="Times New Roman" w:hAnsi="Times New Roman" w:cs="Times New Roman"/>
          <w:sz w:val="20"/>
        </w:rPr>
        <w:t>Messenger RNA therapeutics are increasingly being developed for a diverse range of applications beyond their initial success in vaccine development. The inherent flexibility, transient expression, and safety profile of mRNA have facilitated progress in the following key therapeutic areas:</w:t>
      </w:r>
    </w:p>
    <w:p w14:paraId="14F215C3" w14:textId="392ACE6E" w:rsidR="00AE582E" w:rsidRPr="00AE582E" w:rsidRDefault="00AE582E" w:rsidP="00AE582E">
      <w:pPr>
        <w:pStyle w:val="ListParagraph"/>
        <w:spacing w:before="120" w:after="120" w:line="240" w:lineRule="auto"/>
        <w:ind w:left="0"/>
        <w:contextualSpacing w:val="0"/>
        <w:jc w:val="both"/>
        <w:rPr>
          <w:rFonts w:ascii="Times New Roman" w:hAnsi="Times New Roman" w:cs="Times New Roman"/>
          <w:b/>
          <w:bCs/>
          <w:sz w:val="20"/>
        </w:rPr>
      </w:pPr>
      <w:r>
        <w:rPr>
          <w:rFonts w:ascii="Times New Roman" w:hAnsi="Times New Roman" w:cs="Times New Roman"/>
          <w:b/>
          <w:bCs/>
          <w:sz w:val="20"/>
        </w:rPr>
        <w:t xml:space="preserve">4.1. </w:t>
      </w:r>
      <w:r w:rsidRPr="00AE582E">
        <w:rPr>
          <w:rFonts w:ascii="Times New Roman" w:hAnsi="Times New Roman" w:cs="Times New Roman"/>
          <w:b/>
          <w:bCs/>
          <w:sz w:val="20"/>
        </w:rPr>
        <w:t xml:space="preserve">Cancer Immunotherapy </w:t>
      </w:r>
    </w:p>
    <w:p w14:paraId="26399B2E" w14:textId="77777777" w:rsidR="00AE582E" w:rsidRPr="00AE582E" w:rsidRDefault="00AE582E" w:rsidP="00AE582E">
      <w:pPr>
        <w:spacing w:before="120" w:after="120" w:line="240" w:lineRule="auto"/>
        <w:jc w:val="both"/>
        <w:rPr>
          <w:rFonts w:ascii="Times New Roman" w:hAnsi="Times New Roman" w:cs="Times New Roman"/>
          <w:sz w:val="20"/>
        </w:rPr>
      </w:pPr>
      <w:r w:rsidRPr="00AE582E">
        <w:rPr>
          <w:rFonts w:ascii="Times New Roman" w:hAnsi="Times New Roman" w:cs="Times New Roman"/>
          <w:sz w:val="20"/>
        </w:rPr>
        <w:t xml:space="preserve">mRNA-based cancer vaccines encode </w:t>
      </w:r>
      <w:proofErr w:type="spellStart"/>
      <w:r w:rsidRPr="00AE582E">
        <w:rPr>
          <w:rFonts w:ascii="Times New Roman" w:hAnsi="Times New Roman" w:cs="Times New Roman"/>
          <w:sz w:val="20"/>
        </w:rPr>
        <w:t>tumor</w:t>
      </w:r>
      <w:proofErr w:type="spellEnd"/>
      <w:r w:rsidRPr="00AE582E">
        <w:rPr>
          <w:rFonts w:ascii="Times New Roman" w:hAnsi="Times New Roman" w:cs="Times New Roman"/>
          <w:sz w:val="20"/>
        </w:rPr>
        <w:t xml:space="preserve">-associated antigens (TAAs) to stimulate the body's adaptive immune system, specifically by activating dendritic cells and promoting antigen presentation via MHC class I and II pathways. This process elicits robust cytotoxic CD8+ T-cell and helper CD4+ T-cell responses, essential for </w:t>
      </w:r>
      <w:proofErr w:type="spellStart"/>
      <w:r w:rsidRPr="00AE582E">
        <w:rPr>
          <w:rFonts w:ascii="Times New Roman" w:hAnsi="Times New Roman" w:cs="Times New Roman"/>
          <w:sz w:val="20"/>
        </w:rPr>
        <w:t>tumor</w:t>
      </w:r>
      <w:proofErr w:type="spellEnd"/>
      <w:r w:rsidRPr="00AE582E">
        <w:rPr>
          <w:rFonts w:ascii="Times New Roman" w:hAnsi="Times New Roman" w:cs="Times New Roman"/>
          <w:sz w:val="20"/>
        </w:rPr>
        <w:t xml:space="preserve"> elimination. Clinical trials have demonstrated the potential of mRNA cancer vaccines to enhance antitumor immunity, especially in synergy with immune checkpoint inhibitors.</w:t>
      </w:r>
    </w:p>
    <w:p w14:paraId="0B02F62D" w14:textId="77777777" w:rsidR="00AE582E" w:rsidRPr="00AE582E" w:rsidRDefault="00AE582E" w:rsidP="00AE582E">
      <w:pPr>
        <w:spacing w:before="120" w:after="120" w:line="240" w:lineRule="auto"/>
        <w:jc w:val="both"/>
        <w:rPr>
          <w:rFonts w:ascii="Times New Roman" w:hAnsi="Times New Roman" w:cs="Times New Roman"/>
          <w:sz w:val="20"/>
        </w:rPr>
      </w:pPr>
      <w:r w:rsidRPr="00AE582E">
        <w:rPr>
          <w:rFonts w:ascii="Times New Roman" w:hAnsi="Times New Roman" w:cs="Times New Roman"/>
          <w:sz w:val="20"/>
        </w:rPr>
        <w:t>For instance, mRNA-4157 (</w:t>
      </w:r>
      <w:proofErr w:type="spellStart"/>
      <w:r w:rsidRPr="00AE582E">
        <w:rPr>
          <w:rFonts w:ascii="Times New Roman" w:hAnsi="Times New Roman" w:cs="Times New Roman"/>
          <w:sz w:val="20"/>
        </w:rPr>
        <w:t>Moderna</w:t>
      </w:r>
      <w:proofErr w:type="spellEnd"/>
      <w:r w:rsidRPr="00AE582E">
        <w:rPr>
          <w:rFonts w:ascii="Times New Roman" w:hAnsi="Times New Roman" w:cs="Times New Roman"/>
          <w:sz w:val="20"/>
        </w:rPr>
        <w:t>) combined with pembrolizumab (anti–PD-1) significantly reduced recurrence risk in melanoma patients in a Phase II trial (</w:t>
      </w:r>
      <w:proofErr w:type="spellStart"/>
      <w:r w:rsidRPr="00AE582E">
        <w:rPr>
          <w:rFonts w:ascii="Times New Roman" w:hAnsi="Times New Roman" w:cs="Times New Roman"/>
          <w:sz w:val="20"/>
        </w:rPr>
        <w:t>Moderna</w:t>
      </w:r>
      <w:proofErr w:type="spellEnd"/>
      <w:r w:rsidRPr="00AE582E">
        <w:rPr>
          <w:rFonts w:ascii="Times New Roman" w:hAnsi="Times New Roman" w:cs="Times New Roman"/>
          <w:sz w:val="20"/>
        </w:rPr>
        <w:t>, 2023). Similarly, BNT111 (</w:t>
      </w:r>
      <w:proofErr w:type="spellStart"/>
      <w:r w:rsidRPr="00AE582E">
        <w:rPr>
          <w:rFonts w:ascii="Times New Roman" w:hAnsi="Times New Roman" w:cs="Times New Roman"/>
          <w:sz w:val="20"/>
        </w:rPr>
        <w:t>BioNTech</w:t>
      </w:r>
      <w:proofErr w:type="spellEnd"/>
      <w:r w:rsidRPr="00AE582E">
        <w:rPr>
          <w:rFonts w:ascii="Times New Roman" w:hAnsi="Times New Roman" w:cs="Times New Roman"/>
          <w:sz w:val="20"/>
        </w:rPr>
        <w:t xml:space="preserve">), targeting four melanoma-associated antigens, showed </w:t>
      </w:r>
      <w:proofErr w:type="spellStart"/>
      <w:r w:rsidRPr="00AE582E">
        <w:rPr>
          <w:rFonts w:ascii="Times New Roman" w:hAnsi="Times New Roman" w:cs="Times New Roman"/>
          <w:sz w:val="20"/>
        </w:rPr>
        <w:t>favorable</w:t>
      </w:r>
      <w:proofErr w:type="spellEnd"/>
      <w:r w:rsidRPr="00AE582E">
        <w:rPr>
          <w:rFonts w:ascii="Times New Roman" w:hAnsi="Times New Roman" w:cs="Times New Roman"/>
          <w:sz w:val="20"/>
        </w:rPr>
        <w:t xml:space="preserve"> safety and immunogenicity profiles, with </w:t>
      </w:r>
      <w:proofErr w:type="spellStart"/>
      <w:r w:rsidRPr="00AE582E">
        <w:rPr>
          <w:rFonts w:ascii="Times New Roman" w:hAnsi="Times New Roman" w:cs="Times New Roman"/>
          <w:sz w:val="20"/>
        </w:rPr>
        <w:t>tumor</w:t>
      </w:r>
      <w:proofErr w:type="spellEnd"/>
      <w:r w:rsidRPr="00AE582E">
        <w:rPr>
          <w:rFonts w:ascii="Times New Roman" w:hAnsi="Times New Roman" w:cs="Times New Roman"/>
          <w:sz w:val="20"/>
        </w:rPr>
        <w:t xml:space="preserve"> regression observed in some patients when combined with anti–PD-1 therapy (</w:t>
      </w:r>
      <w:proofErr w:type="spellStart"/>
      <w:r w:rsidRPr="00AE582E">
        <w:rPr>
          <w:rFonts w:ascii="Times New Roman" w:hAnsi="Times New Roman" w:cs="Times New Roman"/>
          <w:sz w:val="20"/>
        </w:rPr>
        <w:t>Sahin</w:t>
      </w:r>
      <w:proofErr w:type="spellEnd"/>
      <w:r w:rsidRPr="00AE582E">
        <w:rPr>
          <w:rFonts w:ascii="Times New Roman" w:hAnsi="Times New Roman" w:cs="Times New Roman"/>
          <w:sz w:val="20"/>
        </w:rPr>
        <w:t xml:space="preserve"> et al., 2020).</w:t>
      </w:r>
    </w:p>
    <w:p w14:paraId="0BAAD43F" w14:textId="77777777" w:rsidR="00AE582E" w:rsidRPr="00AE582E" w:rsidRDefault="00AE582E" w:rsidP="00AE582E">
      <w:pPr>
        <w:spacing w:before="120" w:after="120" w:line="240" w:lineRule="auto"/>
        <w:jc w:val="both"/>
        <w:rPr>
          <w:rFonts w:ascii="Times New Roman" w:hAnsi="Times New Roman" w:cs="Times New Roman"/>
          <w:sz w:val="20"/>
        </w:rPr>
      </w:pPr>
      <w:r w:rsidRPr="00AE582E">
        <w:rPr>
          <w:rFonts w:ascii="Times New Roman" w:hAnsi="Times New Roman" w:cs="Times New Roman"/>
          <w:sz w:val="20"/>
        </w:rPr>
        <w:t xml:space="preserve">Beyond melanoma, mRNA vaccines are being tested in lung, prostate, and colorectal cancers, using personalized neoantigen-based platforms like </w:t>
      </w:r>
      <w:proofErr w:type="spellStart"/>
      <w:r w:rsidRPr="00AE582E">
        <w:rPr>
          <w:rFonts w:ascii="Times New Roman" w:hAnsi="Times New Roman" w:cs="Times New Roman"/>
          <w:sz w:val="20"/>
        </w:rPr>
        <w:t>BioNTech’s</w:t>
      </w:r>
      <w:proofErr w:type="spellEnd"/>
      <w:r w:rsidRPr="00AE582E">
        <w:rPr>
          <w:rFonts w:ascii="Times New Roman" w:hAnsi="Times New Roman" w:cs="Times New Roman"/>
          <w:sz w:val="20"/>
        </w:rPr>
        <w:t xml:space="preserve"> </w:t>
      </w:r>
      <w:proofErr w:type="spellStart"/>
      <w:r w:rsidRPr="00AE582E">
        <w:rPr>
          <w:rFonts w:ascii="Times New Roman" w:hAnsi="Times New Roman" w:cs="Times New Roman"/>
          <w:sz w:val="20"/>
        </w:rPr>
        <w:t>iNeST</w:t>
      </w:r>
      <w:proofErr w:type="spellEnd"/>
      <w:r w:rsidRPr="00AE582E">
        <w:rPr>
          <w:rFonts w:ascii="Times New Roman" w:hAnsi="Times New Roman" w:cs="Times New Roman"/>
          <w:sz w:val="20"/>
        </w:rPr>
        <w:t xml:space="preserve"> (individualized neoantigen specific immunotherapy) and </w:t>
      </w:r>
      <w:proofErr w:type="spellStart"/>
      <w:r w:rsidRPr="00AE582E">
        <w:rPr>
          <w:rFonts w:ascii="Times New Roman" w:hAnsi="Times New Roman" w:cs="Times New Roman"/>
          <w:sz w:val="20"/>
        </w:rPr>
        <w:t>Moderna’s</w:t>
      </w:r>
      <w:proofErr w:type="spellEnd"/>
      <w:r w:rsidRPr="00AE582E">
        <w:rPr>
          <w:rFonts w:ascii="Times New Roman" w:hAnsi="Times New Roman" w:cs="Times New Roman"/>
          <w:sz w:val="20"/>
        </w:rPr>
        <w:t xml:space="preserve"> mRNA-5671 (KRAS vaccine). These approaches underscore the adaptability of mRNA therapeutics for precision oncology (Ott et al., 2017; Hu et al., 2021).</w:t>
      </w:r>
    </w:p>
    <w:p w14:paraId="339D3BB2" w14:textId="4BC06896" w:rsidR="00AE582E" w:rsidRPr="00AE582E" w:rsidRDefault="00AE582E" w:rsidP="00AE582E">
      <w:pPr>
        <w:pStyle w:val="ListParagraph"/>
        <w:spacing w:before="120" w:after="120" w:line="240" w:lineRule="auto"/>
        <w:ind w:left="0"/>
        <w:contextualSpacing w:val="0"/>
        <w:jc w:val="both"/>
        <w:rPr>
          <w:rFonts w:ascii="Times New Roman" w:hAnsi="Times New Roman" w:cs="Times New Roman"/>
          <w:b/>
          <w:bCs/>
          <w:sz w:val="20"/>
        </w:rPr>
      </w:pPr>
      <w:r>
        <w:rPr>
          <w:rFonts w:ascii="Times New Roman" w:hAnsi="Times New Roman" w:cs="Times New Roman"/>
          <w:b/>
          <w:bCs/>
          <w:sz w:val="20"/>
        </w:rPr>
        <w:t xml:space="preserve">4.2. </w:t>
      </w:r>
      <w:r w:rsidRPr="00AE582E">
        <w:rPr>
          <w:rFonts w:ascii="Times New Roman" w:hAnsi="Times New Roman" w:cs="Times New Roman"/>
          <w:b/>
          <w:bCs/>
          <w:sz w:val="20"/>
        </w:rPr>
        <w:t xml:space="preserve">Rare Genetic Disorders </w:t>
      </w:r>
    </w:p>
    <w:p w14:paraId="3207E818" w14:textId="77777777" w:rsidR="00AE582E" w:rsidRPr="00AE582E" w:rsidRDefault="00AE582E" w:rsidP="00AE582E">
      <w:pPr>
        <w:spacing w:before="120" w:after="120" w:line="240" w:lineRule="auto"/>
        <w:jc w:val="both"/>
        <w:rPr>
          <w:rFonts w:ascii="Times New Roman" w:hAnsi="Times New Roman" w:cs="Times New Roman"/>
          <w:sz w:val="20"/>
        </w:rPr>
      </w:pPr>
      <w:r w:rsidRPr="00AE582E">
        <w:rPr>
          <w:rFonts w:ascii="Times New Roman" w:hAnsi="Times New Roman" w:cs="Times New Roman"/>
          <w:sz w:val="20"/>
        </w:rPr>
        <w:t>mRNA therapeutics offer a powerful platform for addressing rare monogenic disorders by enabling transient, non-integrative expression of functional proteins in affected tissues. These conditions, often caused by loss-of-function mutations in a single gene, can be challenging to treat using traditional approaches. By delivering synthetic mRNA encoding the missing or dysfunctional protein, this strategy provides a potential cure or significant therapeutic benefit.</w:t>
      </w:r>
    </w:p>
    <w:p w14:paraId="745F9EAE" w14:textId="77777777" w:rsidR="00AE582E" w:rsidRPr="00AE582E" w:rsidRDefault="00AE582E" w:rsidP="00AE582E">
      <w:pPr>
        <w:spacing w:before="120" w:after="120" w:line="240" w:lineRule="auto"/>
        <w:jc w:val="both"/>
        <w:rPr>
          <w:rFonts w:ascii="Times New Roman" w:hAnsi="Times New Roman" w:cs="Times New Roman"/>
          <w:sz w:val="20"/>
        </w:rPr>
      </w:pPr>
      <w:r w:rsidRPr="00AE582E">
        <w:rPr>
          <w:rFonts w:ascii="Times New Roman" w:hAnsi="Times New Roman" w:cs="Times New Roman"/>
          <w:sz w:val="20"/>
        </w:rPr>
        <w:t xml:space="preserve">A prominent example is </w:t>
      </w:r>
      <w:proofErr w:type="spellStart"/>
      <w:r w:rsidRPr="00AE582E">
        <w:rPr>
          <w:rFonts w:ascii="Times New Roman" w:hAnsi="Times New Roman" w:cs="Times New Roman"/>
          <w:sz w:val="20"/>
        </w:rPr>
        <w:t>Moderna’s</w:t>
      </w:r>
      <w:proofErr w:type="spellEnd"/>
      <w:r w:rsidRPr="00AE582E">
        <w:rPr>
          <w:rFonts w:ascii="Times New Roman" w:hAnsi="Times New Roman" w:cs="Times New Roman"/>
          <w:sz w:val="20"/>
        </w:rPr>
        <w:t xml:space="preserve"> mRNA-3705, designed for the treatment of methylmalonic </w:t>
      </w:r>
      <w:proofErr w:type="spellStart"/>
      <w:r w:rsidRPr="00AE582E">
        <w:rPr>
          <w:rFonts w:ascii="Times New Roman" w:hAnsi="Times New Roman" w:cs="Times New Roman"/>
          <w:sz w:val="20"/>
        </w:rPr>
        <w:t>acidemia</w:t>
      </w:r>
      <w:proofErr w:type="spellEnd"/>
      <w:r w:rsidRPr="00AE582E">
        <w:rPr>
          <w:rFonts w:ascii="Times New Roman" w:hAnsi="Times New Roman" w:cs="Times New Roman"/>
          <w:sz w:val="20"/>
        </w:rPr>
        <w:t xml:space="preserve"> (MMA), a metabolic disorder caused by mutations in the MUT gene. Preclinical models demonstrated restoration of methyl malonyl-CoA mutase activity and prolonged survival (</w:t>
      </w:r>
      <w:proofErr w:type="spellStart"/>
      <w:r w:rsidRPr="00AE582E">
        <w:rPr>
          <w:rFonts w:ascii="Times New Roman" w:hAnsi="Times New Roman" w:cs="Times New Roman"/>
          <w:sz w:val="20"/>
        </w:rPr>
        <w:t>Moderna</w:t>
      </w:r>
      <w:proofErr w:type="spellEnd"/>
      <w:r w:rsidRPr="00AE582E">
        <w:rPr>
          <w:rFonts w:ascii="Times New Roman" w:hAnsi="Times New Roman" w:cs="Times New Roman"/>
          <w:sz w:val="20"/>
        </w:rPr>
        <w:t xml:space="preserve">, 2023). Similarly, ARCT-810 by Arcturus Therapeutics targets alpha-1 antitrypsin deficiency (A1ATD), a genetic disorder characterized by defective A1AT protein folding and secretion. The candidate uses a hepatocyte-targeted LNP formulation to deliver functional A1AT mRNA, showing robust protein expression and </w:t>
      </w:r>
      <w:proofErr w:type="spellStart"/>
      <w:r w:rsidRPr="00AE582E">
        <w:rPr>
          <w:rFonts w:ascii="Times New Roman" w:hAnsi="Times New Roman" w:cs="Times New Roman"/>
          <w:sz w:val="20"/>
        </w:rPr>
        <w:t>favorable</w:t>
      </w:r>
      <w:proofErr w:type="spellEnd"/>
      <w:r w:rsidRPr="00AE582E">
        <w:rPr>
          <w:rFonts w:ascii="Times New Roman" w:hAnsi="Times New Roman" w:cs="Times New Roman"/>
          <w:sz w:val="20"/>
        </w:rPr>
        <w:t xml:space="preserve"> safety profiles in nonhuman primates (Arcturus, 2024).</w:t>
      </w:r>
    </w:p>
    <w:p w14:paraId="135781BC" w14:textId="77777777" w:rsidR="00AE582E" w:rsidRPr="00AE582E" w:rsidRDefault="00AE582E" w:rsidP="00AE582E">
      <w:pPr>
        <w:spacing w:before="120" w:after="120" w:line="240" w:lineRule="auto"/>
        <w:jc w:val="both"/>
        <w:rPr>
          <w:rFonts w:ascii="Times New Roman" w:hAnsi="Times New Roman" w:cs="Times New Roman"/>
          <w:sz w:val="20"/>
        </w:rPr>
      </w:pPr>
      <w:r w:rsidRPr="00AE582E">
        <w:rPr>
          <w:rFonts w:ascii="Times New Roman" w:hAnsi="Times New Roman" w:cs="Times New Roman"/>
          <w:sz w:val="20"/>
        </w:rPr>
        <w:t xml:space="preserve">Additional candidates are in development for conditions like cystic fibrosis (CF), where mRNA encoding CFTR protein is administered via inhalation to target airway epithelial cells. Translate Bio and </w:t>
      </w:r>
      <w:proofErr w:type="spellStart"/>
      <w:r w:rsidRPr="00AE582E">
        <w:rPr>
          <w:rFonts w:ascii="Times New Roman" w:hAnsi="Times New Roman" w:cs="Times New Roman"/>
          <w:sz w:val="20"/>
        </w:rPr>
        <w:t>Moderna</w:t>
      </w:r>
      <w:proofErr w:type="spellEnd"/>
      <w:r w:rsidRPr="00AE582E">
        <w:rPr>
          <w:rFonts w:ascii="Times New Roman" w:hAnsi="Times New Roman" w:cs="Times New Roman"/>
          <w:sz w:val="20"/>
        </w:rPr>
        <w:t xml:space="preserve"> have demonstrated partial restoration of CFTR function in animal models (Translate Bio, 2020).</w:t>
      </w:r>
    </w:p>
    <w:p w14:paraId="1F18BAFA" w14:textId="77777777" w:rsidR="00AE582E" w:rsidRPr="00AE582E" w:rsidRDefault="00AE582E" w:rsidP="00AE582E">
      <w:pPr>
        <w:spacing w:before="120" w:after="120" w:line="240" w:lineRule="auto"/>
        <w:jc w:val="both"/>
        <w:rPr>
          <w:rFonts w:ascii="Times New Roman" w:hAnsi="Times New Roman" w:cs="Times New Roman"/>
          <w:sz w:val="20"/>
        </w:rPr>
      </w:pPr>
      <w:r w:rsidRPr="00AE582E">
        <w:rPr>
          <w:rFonts w:ascii="Times New Roman" w:hAnsi="Times New Roman" w:cs="Times New Roman"/>
          <w:sz w:val="20"/>
        </w:rPr>
        <w:t xml:space="preserve">These advancements highlight the feasibility of mRNA as a rapid and scalable gene replacement strategy for otherwise untreatable genetic diseases (Zhou et al., 2022; </w:t>
      </w:r>
      <w:proofErr w:type="spellStart"/>
      <w:r w:rsidRPr="00AE582E">
        <w:rPr>
          <w:rFonts w:ascii="Times New Roman" w:hAnsi="Times New Roman" w:cs="Times New Roman"/>
          <w:sz w:val="20"/>
        </w:rPr>
        <w:t>Sahin</w:t>
      </w:r>
      <w:proofErr w:type="spellEnd"/>
      <w:r w:rsidRPr="00AE582E">
        <w:rPr>
          <w:rFonts w:ascii="Times New Roman" w:hAnsi="Times New Roman" w:cs="Times New Roman"/>
          <w:sz w:val="20"/>
        </w:rPr>
        <w:t xml:space="preserve"> et al., 2014).</w:t>
      </w:r>
    </w:p>
    <w:p w14:paraId="12C9CCB5" w14:textId="77777777" w:rsidR="00AE582E" w:rsidRPr="00AE582E" w:rsidRDefault="00AE582E" w:rsidP="00AE582E">
      <w:pPr>
        <w:spacing w:before="120" w:after="120" w:line="240" w:lineRule="auto"/>
        <w:jc w:val="both"/>
        <w:rPr>
          <w:rFonts w:ascii="Times New Roman" w:hAnsi="Times New Roman" w:cs="Times New Roman"/>
          <w:b/>
          <w:bCs/>
          <w:sz w:val="20"/>
        </w:rPr>
      </w:pPr>
      <w:r w:rsidRPr="00AE582E">
        <w:rPr>
          <w:rFonts w:ascii="Times New Roman" w:hAnsi="Times New Roman" w:cs="Times New Roman"/>
          <w:b/>
          <w:bCs/>
          <w:sz w:val="20"/>
        </w:rPr>
        <w:t>[Table: Preclinical Outcomes for Rare Genetic Disorders]</w:t>
      </w:r>
    </w:p>
    <w:p w14:paraId="62BF04F5" w14:textId="77777777" w:rsidR="00AE582E" w:rsidRPr="00AE582E" w:rsidRDefault="00AE582E" w:rsidP="00AE582E">
      <w:pPr>
        <w:spacing w:before="120" w:after="120" w:line="240" w:lineRule="auto"/>
        <w:jc w:val="both"/>
        <w:rPr>
          <w:rFonts w:ascii="Times New Roman" w:hAnsi="Times New Roman" w:cs="Times New Roman"/>
          <w:sz w:val="20"/>
        </w:rPr>
      </w:pPr>
      <w:r w:rsidRPr="00AE582E">
        <w:rPr>
          <w:rFonts w:ascii="Times New Roman" w:hAnsi="Times New Roman" w:cs="Times New Roman"/>
          <w:sz w:val="20"/>
        </w:rPr>
        <w:t>This table summarizes preclinical outcomes from recent mRNA therapeutic studies targeting rare genetic disorders. These studies highlight significant functional restoration and improved survival rates in relevant animal models, demonstrating the promise of mRNA for monogenic diseases:</w:t>
      </w:r>
    </w:p>
    <w:tbl>
      <w:tblPr>
        <w:tblStyle w:val="TableGrid"/>
        <w:tblW w:w="5000" w:type="pct"/>
        <w:tblLook w:val="04A0" w:firstRow="1" w:lastRow="0" w:firstColumn="1" w:lastColumn="0" w:noHBand="0" w:noVBand="1"/>
      </w:tblPr>
      <w:tblGrid>
        <w:gridCol w:w="1546"/>
        <w:gridCol w:w="879"/>
        <w:gridCol w:w="2341"/>
        <w:gridCol w:w="1049"/>
        <w:gridCol w:w="1547"/>
        <w:gridCol w:w="1654"/>
      </w:tblGrid>
      <w:tr w:rsidR="00AE582E" w:rsidRPr="00AE582E" w14:paraId="48DA1DCB" w14:textId="77777777" w:rsidTr="00AE582E">
        <w:trPr>
          <w:trHeight w:val="620"/>
        </w:trPr>
        <w:tc>
          <w:tcPr>
            <w:tcW w:w="857" w:type="pct"/>
            <w:vAlign w:val="center"/>
          </w:tcPr>
          <w:p w14:paraId="79A11C0A" w14:textId="77777777" w:rsidR="00AE582E" w:rsidRPr="00AE582E" w:rsidRDefault="00AE582E" w:rsidP="00AE582E">
            <w:pPr>
              <w:jc w:val="center"/>
              <w:rPr>
                <w:rFonts w:ascii="Times New Roman" w:hAnsi="Times New Roman" w:cs="Times New Roman"/>
                <w:b/>
                <w:bCs/>
                <w:sz w:val="20"/>
              </w:rPr>
            </w:pPr>
            <w:r w:rsidRPr="00AE582E">
              <w:rPr>
                <w:rFonts w:ascii="Times New Roman" w:hAnsi="Times New Roman" w:cs="Times New Roman"/>
                <w:b/>
                <w:bCs/>
                <w:sz w:val="20"/>
              </w:rPr>
              <w:t>Disease</w:t>
            </w:r>
          </w:p>
        </w:tc>
        <w:tc>
          <w:tcPr>
            <w:tcW w:w="487" w:type="pct"/>
            <w:vAlign w:val="center"/>
          </w:tcPr>
          <w:p w14:paraId="34BDA9E3" w14:textId="77777777" w:rsidR="00AE582E" w:rsidRPr="00AE582E" w:rsidRDefault="00AE582E" w:rsidP="00AE582E">
            <w:pPr>
              <w:jc w:val="center"/>
              <w:rPr>
                <w:rFonts w:ascii="Times New Roman" w:hAnsi="Times New Roman" w:cs="Times New Roman"/>
                <w:b/>
                <w:bCs/>
                <w:sz w:val="20"/>
              </w:rPr>
            </w:pPr>
            <w:r w:rsidRPr="00AE582E">
              <w:rPr>
                <w:rFonts w:ascii="Times New Roman" w:hAnsi="Times New Roman" w:cs="Times New Roman"/>
                <w:b/>
                <w:bCs/>
                <w:sz w:val="20"/>
              </w:rPr>
              <w:t>Model</w:t>
            </w:r>
          </w:p>
        </w:tc>
        <w:tc>
          <w:tcPr>
            <w:tcW w:w="1298" w:type="pct"/>
            <w:vAlign w:val="center"/>
          </w:tcPr>
          <w:p w14:paraId="6B2B45D9" w14:textId="77777777" w:rsidR="00AE582E" w:rsidRPr="00AE582E" w:rsidRDefault="00AE582E" w:rsidP="00AE582E">
            <w:pPr>
              <w:jc w:val="center"/>
              <w:rPr>
                <w:rFonts w:ascii="Times New Roman" w:hAnsi="Times New Roman" w:cs="Times New Roman"/>
                <w:b/>
                <w:bCs/>
                <w:sz w:val="20"/>
              </w:rPr>
            </w:pPr>
            <w:r w:rsidRPr="00AE582E">
              <w:rPr>
                <w:rFonts w:ascii="Times New Roman" w:hAnsi="Times New Roman" w:cs="Times New Roman"/>
                <w:b/>
                <w:bCs/>
                <w:sz w:val="20"/>
              </w:rPr>
              <w:t>Functional Restoration</w:t>
            </w:r>
          </w:p>
        </w:tc>
        <w:tc>
          <w:tcPr>
            <w:tcW w:w="582" w:type="pct"/>
            <w:vAlign w:val="center"/>
          </w:tcPr>
          <w:p w14:paraId="7623949C" w14:textId="77777777" w:rsidR="00AE582E" w:rsidRPr="00AE582E" w:rsidRDefault="00AE582E" w:rsidP="00AE582E">
            <w:pPr>
              <w:jc w:val="center"/>
              <w:rPr>
                <w:rFonts w:ascii="Times New Roman" w:hAnsi="Times New Roman" w:cs="Times New Roman"/>
                <w:b/>
                <w:bCs/>
                <w:sz w:val="20"/>
              </w:rPr>
            </w:pPr>
            <w:r w:rsidRPr="00AE582E">
              <w:rPr>
                <w:rFonts w:ascii="Times New Roman" w:hAnsi="Times New Roman" w:cs="Times New Roman"/>
                <w:b/>
                <w:bCs/>
                <w:sz w:val="20"/>
              </w:rPr>
              <w:t>Survival Increase</w:t>
            </w:r>
          </w:p>
        </w:tc>
        <w:tc>
          <w:tcPr>
            <w:tcW w:w="858" w:type="pct"/>
            <w:vAlign w:val="center"/>
          </w:tcPr>
          <w:p w14:paraId="4E090B66" w14:textId="77777777" w:rsidR="00AE582E" w:rsidRPr="00AE582E" w:rsidRDefault="00AE582E" w:rsidP="00AE582E">
            <w:pPr>
              <w:jc w:val="center"/>
              <w:rPr>
                <w:rFonts w:ascii="Times New Roman" w:hAnsi="Times New Roman" w:cs="Times New Roman"/>
                <w:b/>
                <w:bCs/>
                <w:sz w:val="20"/>
              </w:rPr>
            </w:pPr>
            <w:r w:rsidRPr="00AE582E">
              <w:rPr>
                <w:rFonts w:ascii="Times New Roman" w:hAnsi="Times New Roman" w:cs="Times New Roman"/>
                <w:b/>
                <w:bCs/>
                <w:sz w:val="20"/>
              </w:rPr>
              <w:t>Delivery Route</w:t>
            </w:r>
          </w:p>
        </w:tc>
        <w:tc>
          <w:tcPr>
            <w:tcW w:w="917" w:type="pct"/>
            <w:vAlign w:val="center"/>
          </w:tcPr>
          <w:p w14:paraId="4C072318" w14:textId="77777777" w:rsidR="00AE582E" w:rsidRPr="00AE582E" w:rsidRDefault="00AE582E" w:rsidP="00AE582E">
            <w:pPr>
              <w:jc w:val="center"/>
              <w:rPr>
                <w:rFonts w:ascii="Times New Roman" w:hAnsi="Times New Roman" w:cs="Times New Roman"/>
                <w:b/>
                <w:bCs/>
                <w:sz w:val="20"/>
              </w:rPr>
            </w:pPr>
            <w:r w:rsidRPr="00AE582E">
              <w:rPr>
                <w:rFonts w:ascii="Times New Roman" w:hAnsi="Times New Roman" w:cs="Times New Roman"/>
                <w:b/>
                <w:bCs/>
                <w:sz w:val="20"/>
              </w:rPr>
              <w:t>Source</w:t>
            </w:r>
          </w:p>
        </w:tc>
      </w:tr>
      <w:tr w:rsidR="00AE582E" w:rsidRPr="00AE582E" w14:paraId="4C8BAA35" w14:textId="77777777" w:rsidTr="00AE582E">
        <w:trPr>
          <w:trHeight w:val="70"/>
        </w:trPr>
        <w:tc>
          <w:tcPr>
            <w:tcW w:w="857" w:type="pct"/>
            <w:vAlign w:val="center"/>
          </w:tcPr>
          <w:p w14:paraId="72B5D8EC"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MMA</w:t>
            </w:r>
          </w:p>
        </w:tc>
        <w:tc>
          <w:tcPr>
            <w:tcW w:w="487" w:type="pct"/>
            <w:vAlign w:val="center"/>
          </w:tcPr>
          <w:p w14:paraId="454FD051"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Mouse</w:t>
            </w:r>
          </w:p>
        </w:tc>
        <w:tc>
          <w:tcPr>
            <w:tcW w:w="1298" w:type="pct"/>
            <w:vAlign w:val="center"/>
          </w:tcPr>
          <w:p w14:paraId="21F79390"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&gt;80% MUT protein</w:t>
            </w:r>
          </w:p>
        </w:tc>
        <w:tc>
          <w:tcPr>
            <w:tcW w:w="582" w:type="pct"/>
            <w:vAlign w:val="center"/>
          </w:tcPr>
          <w:p w14:paraId="31E4B083"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3×</w:t>
            </w:r>
          </w:p>
        </w:tc>
        <w:tc>
          <w:tcPr>
            <w:tcW w:w="858" w:type="pct"/>
            <w:vAlign w:val="center"/>
          </w:tcPr>
          <w:p w14:paraId="2D546A15"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IV</w:t>
            </w:r>
          </w:p>
        </w:tc>
        <w:tc>
          <w:tcPr>
            <w:tcW w:w="917" w:type="pct"/>
            <w:vAlign w:val="center"/>
          </w:tcPr>
          <w:p w14:paraId="1A766EF7" w14:textId="77777777" w:rsidR="00AE582E" w:rsidRPr="00AE582E" w:rsidRDefault="00AE582E" w:rsidP="00AE582E">
            <w:pPr>
              <w:jc w:val="center"/>
              <w:rPr>
                <w:rFonts w:ascii="Times New Roman" w:hAnsi="Times New Roman" w:cs="Times New Roman"/>
                <w:sz w:val="20"/>
              </w:rPr>
            </w:pPr>
            <w:proofErr w:type="spellStart"/>
            <w:r w:rsidRPr="00AE582E">
              <w:rPr>
                <w:rFonts w:ascii="Times New Roman" w:hAnsi="Times New Roman" w:cs="Times New Roman"/>
                <w:sz w:val="20"/>
              </w:rPr>
              <w:t>Moderna</w:t>
            </w:r>
            <w:proofErr w:type="spellEnd"/>
            <w:r w:rsidRPr="00AE582E">
              <w:rPr>
                <w:rFonts w:ascii="Times New Roman" w:hAnsi="Times New Roman" w:cs="Times New Roman"/>
                <w:sz w:val="20"/>
              </w:rPr>
              <w:t>, 2023</w:t>
            </w:r>
          </w:p>
        </w:tc>
      </w:tr>
      <w:tr w:rsidR="00AE582E" w:rsidRPr="00AE582E" w14:paraId="18E5C455" w14:textId="77777777" w:rsidTr="00AE582E">
        <w:trPr>
          <w:trHeight w:val="70"/>
        </w:trPr>
        <w:tc>
          <w:tcPr>
            <w:tcW w:w="857" w:type="pct"/>
            <w:vAlign w:val="center"/>
          </w:tcPr>
          <w:p w14:paraId="250DA11A"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Cystic Fibrosis</w:t>
            </w:r>
          </w:p>
        </w:tc>
        <w:tc>
          <w:tcPr>
            <w:tcW w:w="487" w:type="pct"/>
            <w:vAlign w:val="center"/>
          </w:tcPr>
          <w:p w14:paraId="16EA20DD"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Mouse</w:t>
            </w:r>
          </w:p>
        </w:tc>
        <w:tc>
          <w:tcPr>
            <w:tcW w:w="1298" w:type="pct"/>
            <w:vAlign w:val="center"/>
          </w:tcPr>
          <w:p w14:paraId="2EFB7D87"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&gt;70% CFTR function</w:t>
            </w:r>
          </w:p>
        </w:tc>
        <w:tc>
          <w:tcPr>
            <w:tcW w:w="582" w:type="pct"/>
            <w:vAlign w:val="center"/>
          </w:tcPr>
          <w:p w14:paraId="010B6336"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2×</w:t>
            </w:r>
          </w:p>
        </w:tc>
        <w:tc>
          <w:tcPr>
            <w:tcW w:w="858" w:type="pct"/>
            <w:vAlign w:val="center"/>
          </w:tcPr>
          <w:p w14:paraId="2CE9C6D1"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Inhalation</w:t>
            </w:r>
          </w:p>
        </w:tc>
        <w:tc>
          <w:tcPr>
            <w:tcW w:w="917" w:type="pct"/>
            <w:vAlign w:val="center"/>
          </w:tcPr>
          <w:p w14:paraId="1F7CFC3F"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Translate Bio, 2020</w:t>
            </w:r>
          </w:p>
        </w:tc>
      </w:tr>
      <w:tr w:rsidR="00AE582E" w:rsidRPr="00AE582E" w14:paraId="3A35705C" w14:textId="77777777" w:rsidTr="00AE582E">
        <w:trPr>
          <w:trHeight w:val="70"/>
        </w:trPr>
        <w:tc>
          <w:tcPr>
            <w:tcW w:w="857" w:type="pct"/>
            <w:vAlign w:val="center"/>
          </w:tcPr>
          <w:p w14:paraId="41A9BEFE"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A1AT Deficiency</w:t>
            </w:r>
          </w:p>
        </w:tc>
        <w:tc>
          <w:tcPr>
            <w:tcW w:w="487" w:type="pct"/>
            <w:vAlign w:val="center"/>
          </w:tcPr>
          <w:p w14:paraId="2810EAC2"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Primate</w:t>
            </w:r>
          </w:p>
        </w:tc>
        <w:tc>
          <w:tcPr>
            <w:tcW w:w="1298" w:type="pct"/>
            <w:vAlign w:val="center"/>
          </w:tcPr>
          <w:p w14:paraId="2C0AD36B"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&gt;75% circulating A1AT protein</w:t>
            </w:r>
          </w:p>
        </w:tc>
        <w:tc>
          <w:tcPr>
            <w:tcW w:w="582" w:type="pct"/>
            <w:vAlign w:val="center"/>
          </w:tcPr>
          <w:p w14:paraId="365D7987"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N/A</w:t>
            </w:r>
          </w:p>
        </w:tc>
        <w:tc>
          <w:tcPr>
            <w:tcW w:w="858" w:type="pct"/>
            <w:vAlign w:val="center"/>
          </w:tcPr>
          <w:p w14:paraId="3B0BF8B9"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IV</w:t>
            </w:r>
          </w:p>
        </w:tc>
        <w:tc>
          <w:tcPr>
            <w:tcW w:w="917" w:type="pct"/>
            <w:vAlign w:val="center"/>
          </w:tcPr>
          <w:p w14:paraId="5551B263" w14:textId="77777777" w:rsidR="00AE582E" w:rsidRPr="00AE582E" w:rsidRDefault="00AE582E" w:rsidP="00AE582E">
            <w:pPr>
              <w:jc w:val="center"/>
              <w:rPr>
                <w:rFonts w:ascii="Times New Roman" w:hAnsi="Times New Roman" w:cs="Times New Roman"/>
                <w:sz w:val="20"/>
              </w:rPr>
            </w:pPr>
            <w:r w:rsidRPr="00AE582E">
              <w:rPr>
                <w:rFonts w:ascii="Times New Roman" w:hAnsi="Times New Roman" w:cs="Times New Roman"/>
                <w:sz w:val="20"/>
              </w:rPr>
              <w:t>Arcturus Therapeutics, 2024</w:t>
            </w:r>
          </w:p>
        </w:tc>
      </w:tr>
    </w:tbl>
    <w:p w14:paraId="7DF98693" w14:textId="1EE45090" w:rsidR="00AE582E" w:rsidRPr="00AE582E" w:rsidRDefault="00AE582E" w:rsidP="00946820">
      <w:pPr>
        <w:spacing w:before="120" w:after="120" w:line="240" w:lineRule="auto"/>
        <w:jc w:val="both"/>
        <w:rPr>
          <w:rFonts w:ascii="Times New Roman" w:hAnsi="Times New Roman" w:cs="Times New Roman"/>
          <w:sz w:val="20"/>
        </w:rPr>
      </w:pPr>
      <w:r w:rsidRPr="00AE582E">
        <w:rPr>
          <w:rFonts w:ascii="Times New Roman" w:hAnsi="Times New Roman" w:cs="Times New Roman"/>
          <w:sz w:val="20"/>
        </w:rPr>
        <w:lastRenderedPageBreak/>
        <w:t xml:space="preserve">Each model reflects not only protein expression but also therapeutic efficacy as shown by biochemical correction and survival metrics. In MMA, expression of </w:t>
      </w:r>
      <w:proofErr w:type="spellStart"/>
      <w:r w:rsidRPr="00AE582E">
        <w:rPr>
          <w:rFonts w:ascii="Times New Roman" w:hAnsi="Times New Roman" w:cs="Times New Roman"/>
          <w:sz w:val="20"/>
        </w:rPr>
        <w:t>methylmalonyl</w:t>
      </w:r>
      <w:proofErr w:type="spellEnd"/>
      <w:r w:rsidRPr="00AE582E">
        <w:rPr>
          <w:rFonts w:ascii="Times New Roman" w:hAnsi="Times New Roman" w:cs="Times New Roman"/>
          <w:sz w:val="20"/>
        </w:rPr>
        <w:t>-CoA mutase normalized serum metabolites (</w:t>
      </w:r>
      <w:proofErr w:type="spellStart"/>
      <w:r w:rsidRPr="00AE582E">
        <w:rPr>
          <w:rFonts w:ascii="Times New Roman" w:hAnsi="Times New Roman" w:cs="Times New Roman"/>
          <w:sz w:val="20"/>
        </w:rPr>
        <w:t>Moderna</w:t>
      </w:r>
      <w:proofErr w:type="spellEnd"/>
      <w:r w:rsidRPr="00AE582E">
        <w:rPr>
          <w:rFonts w:ascii="Times New Roman" w:hAnsi="Times New Roman" w:cs="Times New Roman"/>
          <w:sz w:val="20"/>
        </w:rPr>
        <w:t xml:space="preserve">, 2023). CFTR restoration in CF mouse models led to improved airway surface hydration and </w:t>
      </w:r>
      <w:proofErr w:type="spellStart"/>
      <w:r w:rsidRPr="00AE582E">
        <w:rPr>
          <w:rFonts w:ascii="Times New Roman" w:hAnsi="Times New Roman" w:cs="Times New Roman"/>
          <w:sz w:val="20"/>
        </w:rPr>
        <w:t>mucociliary</w:t>
      </w:r>
      <w:proofErr w:type="spellEnd"/>
      <w:r w:rsidRPr="00AE582E">
        <w:rPr>
          <w:rFonts w:ascii="Times New Roman" w:hAnsi="Times New Roman" w:cs="Times New Roman"/>
          <w:sz w:val="20"/>
        </w:rPr>
        <w:t xml:space="preserve"> clearance (Translate Bio, 2020). A1AT expression from ARCT-810 was stable for over 7 days post-injection in primates, demonstrating prolonged bioactivity (Arcturus, 2024).</w:t>
      </w:r>
    </w:p>
    <w:p w14:paraId="68ACA1F9" w14:textId="77777777" w:rsidR="00AE582E" w:rsidRPr="00AE582E" w:rsidRDefault="00AE582E" w:rsidP="00946820">
      <w:pPr>
        <w:spacing w:before="120" w:after="120" w:line="240" w:lineRule="auto"/>
        <w:jc w:val="both"/>
        <w:rPr>
          <w:rFonts w:ascii="Times New Roman" w:hAnsi="Times New Roman" w:cs="Times New Roman"/>
          <w:sz w:val="20"/>
        </w:rPr>
      </w:pPr>
      <w:r w:rsidRPr="00AE582E">
        <w:rPr>
          <w:rFonts w:ascii="Times New Roman" w:hAnsi="Times New Roman" w:cs="Times New Roman"/>
          <w:sz w:val="20"/>
        </w:rPr>
        <w:t xml:space="preserve">These preclinical validations pave the way for human trials and suggest a scalable approach to gene replacement for ultra-rare diseases (Zhou et al., 2022; </w:t>
      </w:r>
      <w:proofErr w:type="spellStart"/>
      <w:r w:rsidRPr="00AE582E">
        <w:rPr>
          <w:rFonts w:ascii="Times New Roman" w:hAnsi="Times New Roman" w:cs="Times New Roman"/>
          <w:sz w:val="20"/>
        </w:rPr>
        <w:t>Sahin</w:t>
      </w:r>
      <w:proofErr w:type="spellEnd"/>
      <w:r w:rsidRPr="00AE582E">
        <w:rPr>
          <w:rFonts w:ascii="Times New Roman" w:hAnsi="Times New Roman" w:cs="Times New Roman"/>
          <w:sz w:val="20"/>
        </w:rPr>
        <w:t xml:space="preserve"> et al., 2014).</w:t>
      </w:r>
    </w:p>
    <w:p w14:paraId="41CEAEF0" w14:textId="157D09D3" w:rsidR="00AE582E" w:rsidRPr="00AE582E" w:rsidRDefault="00946820" w:rsidP="00946820">
      <w:pPr>
        <w:pStyle w:val="ListParagraph"/>
        <w:spacing w:before="120" w:after="120" w:line="240" w:lineRule="auto"/>
        <w:ind w:left="0"/>
        <w:contextualSpacing w:val="0"/>
        <w:jc w:val="both"/>
        <w:rPr>
          <w:rFonts w:ascii="Times New Roman" w:hAnsi="Times New Roman" w:cs="Times New Roman"/>
          <w:b/>
          <w:bCs/>
          <w:sz w:val="20"/>
        </w:rPr>
      </w:pPr>
      <w:r>
        <w:rPr>
          <w:rFonts w:ascii="Times New Roman" w:hAnsi="Times New Roman" w:cs="Times New Roman"/>
          <w:b/>
          <w:bCs/>
          <w:sz w:val="20"/>
        </w:rPr>
        <w:t xml:space="preserve">4.3. </w:t>
      </w:r>
      <w:r w:rsidR="00AE582E" w:rsidRPr="00AE582E">
        <w:rPr>
          <w:rFonts w:ascii="Times New Roman" w:hAnsi="Times New Roman" w:cs="Times New Roman"/>
          <w:b/>
          <w:bCs/>
          <w:sz w:val="20"/>
        </w:rPr>
        <w:t xml:space="preserve">Protein Replacement Therapy </w:t>
      </w:r>
    </w:p>
    <w:p w14:paraId="311A1317" w14:textId="77777777" w:rsidR="00AE582E" w:rsidRPr="00AE582E" w:rsidRDefault="00AE582E" w:rsidP="00946820">
      <w:pPr>
        <w:spacing w:before="120" w:after="120" w:line="240" w:lineRule="auto"/>
        <w:jc w:val="both"/>
        <w:rPr>
          <w:rFonts w:ascii="Times New Roman" w:hAnsi="Times New Roman" w:cs="Times New Roman"/>
          <w:sz w:val="20"/>
        </w:rPr>
      </w:pPr>
      <w:r w:rsidRPr="00AE582E">
        <w:rPr>
          <w:rFonts w:ascii="Times New Roman" w:hAnsi="Times New Roman" w:cs="Times New Roman"/>
          <w:sz w:val="20"/>
        </w:rPr>
        <w:t>mRNA therapeutics offer a promising approach for protein replacement therapy by enabling transient, controllable expression of functional proteins in vivo. This approach is especially beneficial for conditions where a specific protein is deficient or dysfunctional.</w:t>
      </w:r>
    </w:p>
    <w:p w14:paraId="505B3465" w14:textId="77777777" w:rsidR="00AE582E" w:rsidRPr="00AE582E" w:rsidRDefault="00AE582E" w:rsidP="00946820">
      <w:pPr>
        <w:spacing w:before="120" w:after="120" w:line="240" w:lineRule="auto"/>
        <w:jc w:val="both"/>
        <w:rPr>
          <w:rFonts w:ascii="Times New Roman" w:hAnsi="Times New Roman" w:cs="Times New Roman"/>
          <w:sz w:val="20"/>
        </w:rPr>
      </w:pPr>
      <w:r w:rsidRPr="00AE582E">
        <w:rPr>
          <w:rFonts w:ascii="Times New Roman" w:hAnsi="Times New Roman" w:cs="Times New Roman"/>
          <w:sz w:val="20"/>
        </w:rPr>
        <w:t xml:space="preserve">One notable example is </w:t>
      </w:r>
      <w:proofErr w:type="spellStart"/>
      <w:r w:rsidRPr="00AE582E">
        <w:rPr>
          <w:rFonts w:ascii="Times New Roman" w:hAnsi="Times New Roman" w:cs="Times New Roman"/>
          <w:sz w:val="20"/>
        </w:rPr>
        <w:t>BioNTech’s</w:t>
      </w:r>
      <w:proofErr w:type="spellEnd"/>
      <w:r w:rsidRPr="00AE582E">
        <w:rPr>
          <w:rFonts w:ascii="Times New Roman" w:hAnsi="Times New Roman" w:cs="Times New Roman"/>
          <w:sz w:val="20"/>
        </w:rPr>
        <w:t xml:space="preserve"> BNT131, which encodes vascular endothelial growth factor A (VEGF-A) and is designed to promote angiogenesis in patients with cardiovascular disease. In preclinical and early clinical studies, BNT131 demonstrated improved vascularization and blood flow in ischemic tissues, offering a potential treatment for peripheral artery disease (</w:t>
      </w:r>
      <w:proofErr w:type="spellStart"/>
      <w:r w:rsidRPr="00AE582E">
        <w:rPr>
          <w:rFonts w:ascii="Times New Roman" w:hAnsi="Times New Roman" w:cs="Times New Roman"/>
          <w:sz w:val="20"/>
        </w:rPr>
        <w:t>BioNTech</w:t>
      </w:r>
      <w:proofErr w:type="spellEnd"/>
      <w:r w:rsidRPr="00AE582E">
        <w:rPr>
          <w:rFonts w:ascii="Times New Roman" w:hAnsi="Times New Roman" w:cs="Times New Roman"/>
          <w:sz w:val="20"/>
        </w:rPr>
        <w:t>, 2024).</w:t>
      </w:r>
    </w:p>
    <w:p w14:paraId="55F5D4C4" w14:textId="77777777" w:rsidR="00AE582E" w:rsidRPr="00AE582E" w:rsidRDefault="00AE582E" w:rsidP="00946820">
      <w:pPr>
        <w:spacing w:before="120" w:after="120" w:line="240" w:lineRule="auto"/>
        <w:jc w:val="both"/>
        <w:rPr>
          <w:rFonts w:ascii="Times New Roman" w:hAnsi="Times New Roman" w:cs="Times New Roman"/>
          <w:sz w:val="20"/>
        </w:rPr>
      </w:pPr>
      <w:r w:rsidRPr="00AE582E">
        <w:rPr>
          <w:rFonts w:ascii="Times New Roman" w:hAnsi="Times New Roman" w:cs="Times New Roman"/>
          <w:sz w:val="20"/>
        </w:rPr>
        <w:t xml:space="preserve">Another candidate, </w:t>
      </w:r>
      <w:proofErr w:type="spellStart"/>
      <w:r w:rsidRPr="00AE582E">
        <w:rPr>
          <w:rFonts w:ascii="Times New Roman" w:hAnsi="Times New Roman" w:cs="Times New Roman"/>
          <w:sz w:val="20"/>
        </w:rPr>
        <w:t>Moderna’s</w:t>
      </w:r>
      <w:proofErr w:type="spellEnd"/>
      <w:r w:rsidRPr="00AE582E">
        <w:rPr>
          <w:rFonts w:ascii="Times New Roman" w:hAnsi="Times New Roman" w:cs="Times New Roman"/>
          <w:sz w:val="20"/>
        </w:rPr>
        <w:t xml:space="preserve"> AZD8601 (developed in collaboration with AstraZeneca), is an mRNA therapy encoding VEGF-A delivered via intradermal injection for patients undergoing coronary artery bypass grafting. A Phase I trial showed that localized VEGF-A expression led to increased microvascular perfusion and was well tolerated (Zhao et al., 2020; </w:t>
      </w:r>
      <w:proofErr w:type="spellStart"/>
      <w:r w:rsidRPr="00AE582E">
        <w:rPr>
          <w:rFonts w:ascii="Times New Roman" w:hAnsi="Times New Roman" w:cs="Times New Roman"/>
          <w:sz w:val="20"/>
        </w:rPr>
        <w:t>Moderna</w:t>
      </w:r>
      <w:proofErr w:type="spellEnd"/>
      <w:r w:rsidRPr="00AE582E">
        <w:rPr>
          <w:rFonts w:ascii="Times New Roman" w:hAnsi="Times New Roman" w:cs="Times New Roman"/>
          <w:sz w:val="20"/>
        </w:rPr>
        <w:t>, 2023).</w:t>
      </w:r>
    </w:p>
    <w:p w14:paraId="52F04762" w14:textId="77777777" w:rsidR="00AE582E" w:rsidRPr="00AE582E" w:rsidRDefault="00AE582E" w:rsidP="00946820">
      <w:pPr>
        <w:spacing w:before="120" w:after="120" w:line="240" w:lineRule="auto"/>
        <w:jc w:val="both"/>
        <w:rPr>
          <w:rFonts w:ascii="Times New Roman" w:hAnsi="Times New Roman" w:cs="Times New Roman"/>
          <w:sz w:val="20"/>
        </w:rPr>
      </w:pPr>
      <w:r w:rsidRPr="00AE582E">
        <w:rPr>
          <w:rFonts w:ascii="Times New Roman" w:hAnsi="Times New Roman" w:cs="Times New Roman"/>
          <w:sz w:val="20"/>
        </w:rPr>
        <w:t>Protein replacement via mRNA is also being explored in lysosomal storage disorders such as Fabry disease and Gaucher disease. Preclinical studies have shown that intravenous administration of mRNA encoding α-galactosidase A or β-glucocerebrosidase can restore enzyme activity and reduce substrate accumulation in affected tissues (</w:t>
      </w:r>
      <w:proofErr w:type="spellStart"/>
      <w:r w:rsidRPr="00AE582E">
        <w:rPr>
          <w:rFonts w:ascii="Times New Roman" w:hAnsi="Times New Roman" w:cs="Times New Roman"/>
          <w:sz w:val="20"/>
        </w:rPr>
        <w:t>Sahin</w:t>
      </w:r>
      <w:proofErr w:type="spellEnd"/>
      <w:r w:rsidRPr="00AE582E">
        <w:rPr>
          <w:rFonts w:ascii="Times New Roman" w:hAnsi="Times New Roman" w:cs="Times New Roman"/>
          <w:sz w:val="20"/>
        </w:rPr>
        <w:t xml:space="preserve"> et al., 2014; Zhou et al., 2022).</w:t>
      </w:r>
    </w:p>
    <w:p w14:paraId="66EF4ED2" w14:textId="77777777" w:rsidR="00AE582E" w:rsidRPr="00AE582E" w:rsidRDefault="00AE582E" w:rsidP="00946820">
      <w:pPr>
        <w:spacing w:before="120" w:after="120" w:line="240" w:lineRule="auto"/>
        <w:jc w:val="both"/>
        <w:rPr>
          <w:rFonts w:ascii="Times New Roman" w:hAnsi="Times New Roman" w:cs="Times New Roman"/>
          <w:sz w:val="20"/>
        </w:rPr>
      </w:pPr>
      <w:r w:rsidRPr="00AE582E">
        <w:rPr>
          <w:rFonts w:ascii="Times New Roman" w:hAnsi="Times New Roman" w:cs="Times New Roman"/>
          <w:sz w:val="20"/>
        </w:rPr>
        <w:t>These studies highlight the versatility of mRNA for treating protein-deficiency diseases and provide a scalable alternative to traditional enzyme replacement therapies, which often involve complex manufacturing and repeated dosing.</w:t>
      </w:r>
    </w:p>
    <w:p w14:paraId="05AFAE6D" w14:textId="78EE9F71" w:rsidR="00AE582E" w:rsidRPr="00AE582E" w:rsidRDefault="00946820" w:rsidP="00946820">
      <w:pPr>
        <w:pStyle w:val="ListParagraph"/>
        <w:spacing w:before="120" w:after="120" w:line="240" w:lineRule="auto"/>
        <w:ind w:left="0"/>
        <w:contextualSpacing w:val="0"/>
        <w:jc w:val="both"/>
        <w:rPr>
          <w:rFonts w:ascii="Times New Roman" w:hAnsi="Times New Roman" w:cs="Times New Roman"/>
          <w:b/>
          <w:bCs/>
          <w:sz w:val="20"/>
        </w:rPr>
      </w:pPr>
      <w:r>
        <w:rPr>
          <w:rFonts w:ascii="Times New Roman" w:hAnsi="Times New Roman" w:cs="Times New Roman"/>
          <w:b/>
          <w:bCs/>
          <w:sz w:val="20"/>
        </w:rPr>
        <w:t xml:space="preserve">4.4. </w:t>
      </w:r>
      <w:r w:rsidR="00AE582E" w:rsidRPr="00AE582E">
        <w:rPr>
          <w:rFonts w:ascii="Times New Roman" w:hAnsi="Times New Roman" w:cs="Times New Roman"/>
          <w:b/>
          <w:bCs/>
          <w:sz w:val="20"/>
        </w:rPr>
        <w:t>mRNA Therapeutics in Regenerative Medicine</w:t>
      </w:r>
    </w:p>
    <w:p w14:paraId="3FC340CC" w14:textId="77777777" w:rsidR="00AE582E" w:rsidRPr="00AE582E" w:rsidRDefault="00AE582E" w:rsidP="00946820">
      <w:pPr>
        <w:spacing w:before="120" w:after="120" w:line="240" w:lineRule="auto"/>
        <w:jc w:val="both"/>
        <w:rPr>
          <w:rFonts w:ascii="Times New Roman" w:hAnsi="Times New Roman" w:cs="Times New Roman"/>
          <w:sz w:val="20"/>
        </w:rPr>
      </w:pPr>
      <w:r w:rsidRPr="00AE582E">
        <w:rPr>
          <w:rFonts w:ascii="Times New Roman" w:hAnsi="Times New Roman" w:cs="Times New Roman"/>
          <w:sz w:val="20"/>
        </w:rPr>
        <w:t xml:space="preserve">mRNA-based therapeutics have emerged as powerful tools in regenerative medicine, enabling the in-situ production of growth factors and regenerative proteins that promote tissue repair, angiogenesis, and organ regeneration. Unlike traditional protein-based therapies, mRNA delivery provides transient, localized, and </w:t>
      </w:r>
      <w:proofErr w:type="spellStart"/>
      <w:r w:rsidRPr="00AE582E">
        <w:rPr>
          <w:rFonts w:ascii="Times New Roman" w:hAnsi="Times New Roman" w:cs="Times New Roman"/>
          <w:sz w:val="20"/>
        </w:rPr>
        <w:t>tunable</w:t>
      </w:r>
      <w:proofErr w:type="spellEnd"/>
      <w:r w:rsidRPr="00AE582E">
        <w:rPr>
          <w:rFonts w:ascii="Times New Roman" w:hAnsi="Times New Roman" w:cs="Times New Roman"/>
          <w:sz w:val="20"/>
        </w:rPr>
        <w:t xml:space="preserve"> expression of therapeutic molecules with fewer manufacturing and immunogenicity hurdles.</w:t>
      </w:r>
    </w:p>
    <w:p w14:paraId="4099AA9A" w14:textId="0EDB7BD3" w:rsidR="00AE582E" w:rsidRPr="000C21AB" w:rsidRDefault="000C21AB" w:rsidP="00946820">
      <w:pPr>
        <w:spacing w:before="120" w:after="120" w:line="240" w:lineRule="auto"/>
        <w:jc w:val="both"/>
        <w:rPr>
          <w:rFonts w:ascii="Times New Roman" w:hAnsi="Times New Roman" w:cs="Times New Roman"/>
          <w:b/>
          <w:sz w:val="20"/>
        </w:rPr>
      </w:pPr>
      <w:r w:rsidRPr="000C21AB">
        <w:rPr>
          <w:rFonts w:ascii="Times New Roman" w:hAnsi="Times New Roman" w:cs="Times New Roman"/>
          <w:b/>
          <w:sz w:val="20"/>
        </w:rPr>
        <w:t xml:space="preserve">4.5. </w:t>
      </w:r>
      <w:r w:rsidR="00AE582E" w:rsidRPr="000C21AB">
        <w:rPr>
          <w:rFonts w:ascii="Times New Roman" w:hAnsi="Times New Roman" w:cs="Times New Roman"/>
          <w:b/>
          <w:sz w:val="20"/>
        </w:rPr>
        <w:t>Mechanism of Action in Regeneration</w:t>
      </w:r>
    </w:p>
    <w:p w14:paraId="62329D46" w14:textId="77777777" w:rsidR="00AE582E" w:rsidRPr="00AE582E" w:rsidRDefault="00AE582E" w:rsidP="00946820">
      <w:pPr>
        <w:spacing w:before="120" w:after="120" w:line="240" w:lineRule="auto"/>
        <w:jc w:val="both"/>
        <w:rPr>
          <w:rFonts w:ascii="Times New Roman" w:hAnsi="Times New Roman" w:cs="Times New Roman"/>
          <w:sz w:val="20"/>
        </w:rPr>
      </w:pPr>
      <w:r w:rsidRPr="00AE582E">
        <w:rPr>
          <w:rFonts w:ascii="Times New Roman" w:hAnsi="Times New Roman" w:cs="Times New Roman"/>
          <w:sz w:val="20"/>
        </w:rPr>
        <w:t>mRNA therapies in regenerative medicine function primarily by encoding pro-regenerative proteins—such as:</w:t>
      </w:r>
    </w:p>
    <w:p w14:paraId="4AC883A2" w14:textId="77777777" w:rsidR="00AE582E" w:rsidRPr="00AE582E" w:rsidRDefault="00AE582E" w:rsidP="00946820">
      <w:pPr>
        <w:numPr>
          <w:ilvl w:val="0"/>
          <w:numId w:val="43"/>
        </w:numPr>
        <w:spacing w:before="60" w:after="60" w:line="240" w:lineRule="auto"/>
        <w:ind w:left="360"/>
        <w:jc w:val="both"/>
        <w:rPr>
          <w:rFonts w:ascii="Times New Roman" w:hAnsi="Times New Roman" w:cs="Times New Roman"/>
          <w:sz w:val="20"/>
        </w:rPr>
      </w:pPr>
      <w:r w:rsidRPr="00AE582E">
        <w:rPr>
          <w:rFonts w:ascii="Times New Roman" w:hAnsi="Times New Roman" w:cs="Times New Roman"/>
          <w:sz w:val="20"/>
        </w:rPr>
        <w:t>Vascular endothelial growth factor (VEGF): Promotes angiogenesis.</w:t>
      </w:r>
    </w:p>
    <w:p w14:paraId="096ECBB3" w14:textId="77777777" w:rsidR="00AE582E" w:rsidRPr="00AE582E" w:rsidRDefault="00AE582E" w:rsidP="00946820">
      <w:pPr>
        <w:numPr>
          <w:ilvl w:val="0"/>
          <w:numId w:val="43"/>
        </w:numPr>
        <w:spacing w:before="60" w:after="60" w:line="240" w:lineRule="auto"/>
        <w:ind w:left="360"/>
        <w:jc w:val="both"/>
        <w:rPr>
          <w:rFonts w:ascii="Times New Roman" w:hAnsi="Times New Roman" w:cs="Times New Roman"/>
          <w:sz w:val="20"/>
        </w:rPr>
      </w:pPr>
      <w:r w:rsidRPr="00AE582E">
        <w:rPr>
          <w:rFonts w:ascii="Times New Roman" w:hAnsi="Times New Roman" w:cs="Times New Roman"/>
          <w:sz w:val="20"/>
        </w:rPr>
        <w:t xml:space="preserve">Hepatocyte growth factor (HGF): Enhances cell proliferation, motility, and anti-apoptotic </w:t>
      </w:r>
      <w:proofErr w:type="spellStart"/>
      <w:r w:rsidRPr="00AE582E">
        <w:rPr>
          <w:rFonts w:ascii="Times New Roman" w:hAnsi="Times New Roman" w:cs="Times New Roman"/>
          <w:sz w:val="20"/>
        </w:rPr>
        <w:t>signaling</w:t>
      </w:r>
      <w:proofErr w:type="spellEnd"/>
      <w:r w:rsidRPr="00AE582E">
        <w:rPr>
          <w:rFonts w:ascii="Times New Roman" w:hAnsi="Times New Roman" w:cs="Times New Roman"/>
          <w:sz w:val="20"/>
        </w:rPr>
        <w:t>.</w:t>
      </w:r>
    </w:p>
    <w:p w14:paraId="7A895070" w14:textId="77777777" w:rsidR="00AE582E" w:rsidRPr="00AE582E" w:rsidRDefault="00AE582E" w:rsidP="00946820">
      <w:pPr>
        <w:numPr>
          <w:ilvl w:val="0"/>
          <w:numId w:val="43"/>
        </w:numPr>
        <w:spacing w:before="60" w:after="60" w:line="240" w:lineRule="auto"/>
        <w:ind w:left="360"/>
        <w:jc w:val="both"/>
        <w:rPr>
          <w:rFonts w:ascii="Times New Roman" w:hAnsi="Times New Roman" w:cs="Times New Roman"/>
          <w:sz w:val="20"/>
        </w:rPr>
      </w:pPr>
      <w:r w:rsidRPr="00AE582E">
        <w:rPr>
          <w:rFonts w:ascii="Times New Roman" w:hAnsi="Times New Roman" w:cs="Times New Roman"/>
          <w:sz w:val="20"/>
        </w:rPr>
        <w:t>Stromal cell-derived factor 1 (SDF-1): Attracts progenitor and stem cells to injury sites.</w:t>
      </w:r>
    </w:p>
    <w:p w14:paraId="00DFE4A8" w14:textId="77777777" w:rsidR="00AE582E" w:rsidRPr="000C21AB" w:rsidRDefault="00AE582E" w:rsidP="00946820">
      <w:pPr>
        <w:numPr>
          <w:ilvl w:val="0"/>
          <w:numId w:val="43"/>
        </w:numPr>
        <w:spacing w:before="60" w:after="60" w:line="240" w:lineRule="auto"/>
        <w:ind w:left="360"/>
        <w:jc w:val="both"/>
        <w:rPr>
          <w:rFonts w:ascii="Times New Roman" w:hAnsi="Times New Roman" w:cs="Times New Roman"/>
          <w:spacing w:val="-6"/>
          <w:sz w:val="20"/>
        </w:rPr>
      </w:pPr>
      <w:r w:rsidRPr="00AE582E">
        <w:rPr>
          <w:rFonts w:ascii="Times New Roman" w:hAnsi="Times New Roman" w:cs="Times New Roman"/>
          <w:sz w:val="20"/>
        </w:rPr>
        <w:t xml:space="preserve">Fibroblast growth factors (FGFs): Stimulate proliferation </w:t>
      </w:r>
      <w:r w:rsidRPr="000C21AB">
        <w:rPr>
          <w:rFonts w:ascii="Times New Roman" w:hAnsi="Times New Roman" w:cs="Times New Roman"/>
          <w:spacing w:val="-6"/>
          <w:sz w:val="20"/>
        </w:rPr>
        <w:t>and differentiation of epithelial and mesenchymal cells.</w:t>
      </w:r>
    </w:p>
    <w:p w14:paraId="2853C033" w14:textId="77777777" w:rsidR="00AE582E" w:rsidRPr="00AE582E" w:rsidRDefault="00AE582E" w:rsidP="00946820">
      <w:pPr>
        <w:spacing w:before="120" w:after="120" w:line="240" w:lineRule="auto"/>
        <w:jc w:val="both"/>
        <w:rPr>
          <w:rFonts w:ascii="Times New Roman" w:hAnsi="Times New Roman" w:cs="Times New Roman"/>
          <w:sz w:val="20"/>
        </w:rPr>
      </w:pPr>
      <w:r w:rsidRPr="00AE582E">
        <w:rPr>
          <w:rFonts w:ascii="Times New Roman" w:hAnsi="Times New Roman" w:cs="Times New Roman"/>
          <w:sz w:val="20"/>
        </w:rPr>
        <w:t>Once delivered, typically using lipid nanoparticles (LNPs) or polymer-based systems, mRNA enters cells, escapes the endosome, and is translated into proteins that act locally to promote tissue regeneration, reduce inflammation, and prevent fibrosis.</w:t>
      </w:r>
    </w:p>
    <w:p w14:paraId="30011CBA" w14:textId="77777777" w:rsidR="00AE582E" w:rsidRPr="00AE582E" w:rsidRDefault="00AE582E" w:rsidP="00946820">
      <w:pPr>
        <w:spacing w:before="120" w:after="120" w:line="240" w:lineRule="auto"/>
        <w:jc w:val="both"/>
        <w:rPr>
          <w:rFonts w:ascii="Times New Roman" w:hAnsi="Times New Roman" w:cs="Times New Roman"/>
          <w:sz w:val="20"/>
        </w:rPr>
      </w:pPr>
      <w:r w:rsidRPr="00AE582E">
        <w:rPr>
          <w:rFonts w:ascii="Times New Roman" w:hAnsi="Times New Roman" w:cs="Times New Roman"/>
          <w:sz w:val="20"/>
        </w:rPr>
        <w:t>In skin wound healing, intradermal injection of mRNA encoding keratinocyte growth factor (KGF) accelerated epithelialization and increased dermal collagen density (Cheng et al., 2022). These data support mRNA's therapeutic promise for tissue repair, enabling spatiotemporal delivery of regenerative signals.</w:t>
      </w:r>
    </w:p>
    <w:p w14:paraId="35B7D364" w14:textId="311358B3" w:rsidR="00AE582E" w:rsidRPr="000C21AB" w:rsidRDefault="000C21AB" w:rsidP="000C21AB">
      <w:pPr>
        <w:pStyle w:val="NormalWeb"/>
        <w:numPr>
          <w:ilvl w:val="0"/>
          <w:numId w:val="27"/>
        </w:numPr>
        <w:shd w:val="clear" w:color="auto" w:fill="FFFFFF"/>
        <w:spacing w:before="120" w:beforeAutospacing="0" w:after="120" w:afterAutospacing="0"/>
        <w:ind w:left="274" w:hanging="274"/>
        <w:jc w:val="both"/>
        <w:rPr>
          <w:b/>
          <w:bCs/>
          <w:color w:val="000000"/>
          <w:sz w:val="22"/>
          <w:szCs w:val="22"/>
        </w:rPr>
      </w:pPr>
      <w:r w:rsidRPr="000C21AB">
        <w:rPr>
          <w:b/>
          <w:bCs/>
          <w:color w:val="000000"/>
          <w:sz w:val="22"/>
          <w:szCs w:val="22"/>
        </w:rPr>
        <w:t xml:space="preserve">CLINICAL PIPELINE AND REGULATORY LANDSCAPE </w:t>
      </w:r>
    </w:p>
    <w:p w14:paraId="68356DEB" w14:textId="77777777" w:rsidR="00AE582E" w:rsidRDefault="00AE582E" w:rsidP="00946820">
      <w:pPr>
        <w:spacing w:before="120" w:after="120" w:line="240" w:lineRule="auto"/>
        <w:jc w:val="both"/>
        <w:rPr>
          <w:rFonts w:ascii="Times New Roman" w:hAnsi="Times New Roman" w:cs="Times New Roman"/>
          <w:sz w:val="20"/>
        </w:rPr>
      </w:pPr>
      <w:r w:rsidRPr="00AE582E">
        <w:rPr>
          <w:rFonts w:ascii="Times New Roman" w:hAnsi="Times New Roman" w:cs="Times New Roman"/>
          <w:sz w:val="20"/>
        </w:rPr>
        <w:t>Currently, over 100 mRNA programs are in development beyond vaccines, with more than 30 focused on oncology and rare diseases. Regulatory bodies are establishing frameworks for the clinical approval of mRNA-based therapeutics (FDA, 2023). Efforts are underway to streamline pathways for fast-track designations and emergency use authorizations, particularly for orphan and unmet-need conditions.</w:t>
      </w:r>
    </w:p>
    <w:p w14:paraId="516A700C" w14:textId="7B5951A0" w:rsidR="000C21AB" w:rsidRPr="00AE582E" w:rsidRDefault="000C21AB" w:rsidP="000C21AB">
      <w:pPr>
        <w:spacing w:before="120" w:after="120" w:line="240" w:lineRule="auto"/>
        <w:jc w:val="center"/>
        <w:rPr>
          <w:rFonts w:ascii="Times New Roman" w:hAnsi="Times New Roman" w:cs="Times New Roman"/>
          <w:sz w:val="20"/>
        </w:rPr>
      </w:pPr>
      <w:r w:rsidRPr="000C21AB">
        <w:rPr>
          <w:rFonts w:ascii="Times New Roman" w:hAnsi="Times New Roman" w:cs="Times New Roman"/>
          <w:noProof/>
          <w:sz w:val="20"/>
          <w:lang w:val="en-US"/>
        </w:rPr>
        <w:lastRenderedPageBreak/>
        <w:drawing>
          <wp:inline distT="0" distB="0" distL="0" distR="0" wp14:anchorId="2C9D5C17" wp14:editId="7E521C5A">
            <wp:extent cx="4143067" cy="2486025"/>
            <wp:effectExtent l="0" t="0" r="0" b="0"/>
            <wp:docPr id="13778149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58346" cy="2495193"/>
                    </a:xfrm>
                    <a:prstGeom prst="rect">
                      <a:avLst/>
                    </a:prstGeom>
                    <a:noFill/>
                    <a:ln>
                      <a:noFill/>
                    </a:ln>
                  </pic:spPr>
                </pic:pic>
              </a:graphicData>
            </a:graphic>
          </wp:inline>
        </w:drawing>
      </w:r>
    </w:p>
    <w:p w14:paraId="64C6B692" w14:textId="4B6FA796" w:rsidR="00AE582E" w:rsidRDefault="00AE582E" w:rsidP="00946820">
      <w:pPr>
        <w:spacing w:before="120" w:after="120" w:line="240" w:lineRule="auto"/>
        <w:jc w:val="center"/>
        <w:rPr>
          <w:rFonts w:ascii="Times New Roman" w:hAnsi="Times New Roman" w:cs="Times New Roman"/>
          <w:bCs/>
          <w:i/>
          <w:sz w:val="20"/>
        </w:rPr>
      </w:pPr>
      <w:r w:rsidRPr="00AE582E">
        <w:rPr>
          <w:rFonts w:ascii="Times New Roman" w:hAnsi="Times New Roman" w:cs="Times New Roman"/>
          <w:b/>
          <w:bCs/>
          <w:sz w:val="20"/>
        </w:rPr>
        <w:t>Figure</w:t>
      </w:r>
      <w:r w:rsidR="00946820">
        <w:rPr>
          <w:rFonts w:ascii="Times New Roman" w:hAnsi="Times New Roman" w:cs="Times New Roman"/>
          <w:b/>
          <w:bCs/>
          <w:sz w:val="20"/>
        </w:rPr>
        <w:t xml:space="preserve">. </w:t>
      </w:r>
      <w:r w:rsidRPr="00946820">
        <w:rPr>
          <w:rFonts w:ascii="Times New Roman" w:hAnsi="Times New Roman" w:cs="Times New Roman"/>
          <w:bCs/>
          <w:i/>
          <w:sz w:val="20"/>
        </w:rPr>
        <w:t>Growth of mRNA Pro</w:t>
      </w:r>
      <w:r w:rsidR="00946820" w:rsidRPr="00946820">
        <w:rPr>
          <w:rFonts w:ascii="Times New Roman" w:hAnsi="Times New Roman" w:cs="Times New Roman"/>
          <w:bCs/>
          <w:i/>
          <w:sz w:val="20"/>
        </w:rPr>
        <w:t>grams by Indication (2015–2025)</w:t>
      </w:r>
    </w:p>
    <w:p w14:paraId="52C5DE14" w14:textId="362C728A" w:rsidR="000C21AB" w:rsidRPr="000C21AB" w:rsidRDefault="000C21AB" w:rsidP="000C21AB">
      <w:pPr>
        <w:pStyle w:val="NormalWeb"/>
        <w:numPr>
          <w:ilvl w:val="0"/>
          <w:numId w:val="27"/>
        </w:numPr>
        <w:shd w:val="clear" w:color="auto" w:fill="FFFFFF"/>
        <w:spacing w:before="120" w:beforeAutospacing="0" w:after="120" w:afterAutospacing="0"/>
        <w:ind w:left="274" w:hanging="274"/>
        <w:jc w:val="both"/>
        <w:rPr>
          <w:b/>
          <w:bCs/>
          <w:color w:val="000000"/>
          <w:sz w:val="22"/>
          <w:szCs w:val="22"/>
        </w:rPr>
      </w:pPr>
      <w:r w:rsidRPr="000C21AB">
        <w:rPr>
          <w:b/>
          <w:bCs/>
          <w:color w:val="000000"/>
          <w:sz w:val="22"/>
          <w:szCs w:val="22"/>
        </w:rPr>
        <w:t xml:space="preserve">MANUFACTURING AND STORAGE INNOVATIONS </w:t>
      </w:r>
    </w:p>
    <w:p w14:paraId="0BE5791D" w14:textId="77777777" w:rsidR="000C21AB" w:rsidRPr="000C21AB" w:rsidRDefault="000C21AB" w:rsidP="000C21AB">
      <w:pPr>
        <w:spacing w:before="120" w:after="120" w:line="240" w:lineRule="auto"/>
        <w:jc w:val="both"/>
        <w:rPr>
          <w:rFonts w:ascii="Times New Roman" w:hAnsi="Times New Roman" w:cs="Times New Roman"/>
          <w:sz w:val="20"/>
        </w:rPr>
      </w:pPr>
      <w:r w:rsidRPr="000C21AB">
        <w:rPr>
          <w:rFonts w:ascii="Times New Roman" w:hAnsi="Times New Roman" w:cs="Times New Roman"/>
          <w:sz w:val="20"/>
        </w:rPr>
        <w:t>Key challenges include maintaining mRNA stability and ensuring cold-chain logistics. Innovations such as lyophilization and thermostable formulations are addressing these issues (Arcturus, 2024). Continuous manufacturing systems are also being developed to enable scalable, on-demand production.</w:t>
      </w:r>
    </w:p>
    <w:p w14:paraId="7D640AD3" w14:textId="77777777" w:rsidR="000C21AB" w:rsidRPr="000C21AB" w:rsidRDefault="000C21AB" w:rsidP="000C21AB">
      <w:pPr>
        <w:spacing w:before="120" w:after="120" w:line="240" w:lineRule="auto"/>
        <w:jc w:val="both"/>
        <w:rPr>
          <w:rFonts w:ascii="Times New Roman" w:hAnsi="Times New Roman" w:cs="Times New Roman"/>
          <w:sz w:val="20"/>
        </w:rPr>
      </w:pPr>
      <w:r w:rsidRPr="000C21AB">
        <w:rPr>
          <w:rFonts w:ascii="Times New Roman" w:hAnsi="Times New Roman" w:cs="Times New Roman"/>
          <w:sz w:val="20"/>
        </w:rPr>
        <w:t>Advanced purification processes, cell-free enzymatic synthesis, and microfluidic encapsulation are enhancing both yield and quality. Cost-effective and decentralized production models may soon allow mRNA medicines to be manufactured at the point of care.</w:t>
      </w:r>
    </w:p>
    <w:p w14:paraId="020030D3" w14:textId="13590484" w:rsidR="000C21AB" w:rsidRPr="000C21AB" w:rsidRDefault="000C21AB" w:rsidP="000C21AB">
      <w:pPr>
        <w:spacing w:before="120" w:after="120" w:line="240" w:lineRule="auto"/>
        <w:jc w:val="both"/>
        <w:rPr>
          <w:rFonts w:ascii="Times New Roman" w:hAnsi="Times New Roman" w:cs="Times New Roman"/>
          <w:b/>
          <w:bCs/>
          <w:sz w:val="20"/>
        </w:rPr>
      </w:pPr>
      <w:r w:rsidRPr="000C21AB">
        <w:rPr>
          <w:rFonts w:ascii="Times New Roman" w:hAnsi="Times New Roman" w:cs="Times New Roman"/>
          <w:b/>
          <w:bCs/>
          <w:sz w:val="20"/>
        </w:rPr>
        <w:t>Table</w:t>
      </w:r>
      <w:r>
        <w:rPr>
          <w:rFonts w:ascii="Times New Roman" w:hAnsi="Times New Roman" w:cs="Times New Roman"/>
          <w:b/>
          <w:bCs/>
          <w:sz w:val="20"/>
        </w:rPr>
        <w:t xml:space="preserve">. </w:t>
      </w:r>
      <w:r w:rsidRPr="000C21AB">
        <w:rPr>
          <w:rFonts w:ascii="Times New Roman" w:hAnsi="Times New Roman" w:cs="Times New Roman"/>
          <w:bCs/>
          <w:i/>
          <w:sz w:val="20"/>
        </w:rPr>
        <w:t>Storage and Formulation Improvements</w:t>
      </w:r>
    </w:p>
    <w:tbl>
      <w:tblPr>
        <w:tblStyle w:val="TableGrid"/>
        <w:tblW w:w="5000" w:type="pct"/>
        <w:jc w:val="center"/>
        <w:tblLook w:val="04A0" w:firstRow="1" w:lastRow="0" w:firstColumn="1" w:lastColumn="0" w:noHBand="0" w:noVBand="1"/>
      </w:tblPr>
      <w:tblGrid>
        <w:gridCol w:w="1773"/>
        <w:gridCol w:w="2366"/>
        <w:gridCol w:w="2609"/>
        <w:gridCol w:w="2268"/>
      </w:tblGrid>
      <w:tr w:rsidR="000C21AB" w:rsidRPr="000C21AB" w14:paraId="768AF1A7" w14:textId="77777777" w:rsidTr="000C21AB">
        <w:trPr>
          <w:trHeight w:val="70"/>
          <w:jc w:val="center"/>
        </w:trPr>
        <w:tc>
          <w:tcPr>
            <w:tcW w:w="983" w:type="pct"/>
            <w:vAlign w:val="center"/>
          </w:tcPr>
          <w:p w14:paraId="370B3743" w14:textId="1EA26FCC" w:rsidR="000C21AB" w:rsidRPr="000C21AB" w:rsidRDefault="000C21AB" w:rsidP="000C21AB">
            <w:pPr>
              <w:jc w:val="center"/>
              <w:rPr>
                <w:rFonts w:ascii="Times New Roman" w:hAnsi="Times New Roman" w:cs="Times New Roman"/>
                <w:b/>
                <w:bCs/>
                <w:sz w:val="20"/>
              </w:rPr>
            </w:pPr>
            <w:r w:rsidRPr="000C21AB">
              <w:rPr>
                <w:rFonts w:ascii="Times New Roman" w:hAnsi="Times New Roman" w:cs="Times New Roman"/>
                <w:b/>
                <w:bCs/>
                <w:sz w:val="20"/>
              </w:rPr>
              <w:t>Company</w:t>
            </w:r>
          </w:p>
        </w:tc>
        <w:tc>
          <w:tcPr>
            <w:tcW w:w="1312" w:type="pct"/>
            <w:vAlign w:val="center"/>
          </w:tcPr>
          <w:p w14:paraId="4453E8D8" w14:textId="77777777" w:rsidR="000C21AB" w:rsidRPr="000C21AB" w:rsidRDefault="000C21AB" w:rsidP="000C21AB">
            <w:pPr>
              <w:jc w:val="center"/>
              <w:rPr>
                <w:rFonts w:ascii="Times New Roman" w:hAnsi="Times New Roman" w:cs="Times New Roman"/>
                <w:b/>
                <w:bCs/>
                <w:sz w:val="20"/>
              </w:rPr>
            </w:pPr>
            <w:r w:rsidRPr="000C21AB">
              <w:rPr>
                <w:rFonts w:ascii="Times New Roman" w:hAnsi="Times New Roman" w:cs="Times New Roman"/>
                <w:b/>
                <w:bCs/>
                <w:sz w:val="20"/>
              </w:rPr>
              <w:t>Stability (Room Temp)</w:t>
            </w:r>
          </w:p>
        </w:tc>
        <w:tc>
          <w:tcPr>
            <w:tcW w:w="1447" w:type="pct"/>
            <w:vAlign w:val="center"/>
          </w:tcPr>
          <w:p w14:paraId="621888B3" w14:textId="77777777" w:rsidR="000C21AB" w:rsidRPr="000C21AB" w:rsidRDefault="000C21AB" w:rsidP="000C21AB">
            <w:pPr>
              <w:jc w:val="center"/>
              <w:rPr>
                <w:rFonts w:ascii="Times New Roman" w:hAnsi="Times New Roman" w:cs="Times New Roman"/>
                <w:b/>
                <w:bCs/>
                <w:sz w:val="20"/>
              </w:rPr>
            </w:pPr>
            <w:r w:rsidRPr="000C21AB">
              <w:rPr>
                <w:rFonts w:ascii="Times New Roman" w:hAnsi="Times New Roman" w:cs="Times New Roman"/>
                <w:b/>
                <w:bCs/>
                <w:sz w:val="20"/>
              </w:rPr>
              <w:t>Lyophilized Formulation</w:t>
            </w:r>
          </w:p>
        </w:tc>
        <w:tc>
          <w:tcPr>
            <w:tcW w:w="1259" w:type="pct"/>
            <w:vAlign w:val="center"/>
          </w:tcPr>
          <w:p w14:paraId="624119E3" w14:textId="77777777" w:rsidR="000C21AB" w:rsidRPr="000C21AB" w:rsidRDefault="000C21AB" w:rsidP="000C21AB">
            <w:pPr>
              <w:jc w:val="center"/>
              <w:rPr>
                <w:rFonts w:ascii="Times New Roman" w:hAnsi="Times New Roman" w:cs="Times New Roman"/>
                <w:b/>
                <w:bCs/>
                <w:sz w:val="20"/>
              </w:rPr>
            </w:pPr>
            <w:r w:rsidRPr="000C21AB">
              <w:rPr>
                <w:rFonts w:ascii="Times New Roman" w:hAnsi="Times New Roman" w:cs="Times New Roman"/>
                <w:b/>
                <w:bCs/>
                <w:sz w:val="20"/>
              </w:rPr>
              <w:t>Cold Storage Required</w:t>
            </w:r>
          </w:p>
        </w:tc>
      </w:tr>
      <w:tr w:rsidR="000C21AB" w:rsidRPr="000C21AB" w14:paraId="1AE6BC47" w14:textId="77777777" w:rsidTr="000C21AB">
        <w:trPr>
          <w:trHeight w:val="70"/>
          <w:jc w:val="center"/>
        </w:trPr>
        <w:tc>
          <w:tcPr>
            <w:tcW w:w="983" w:type="pct"/>
            <w:vAlign w:val="center"/>
          </w:tcPr>
          <w:p w14:paraId="4B658BDA" w14:textId="77777777" w:rsidR="000C21AB" w:rsidRPr="000C21AB" w:rsidRDefault="000C21AB" w:rsidP="000C21AB">
            <w:pPr>
              <w:jc w:val="center"/>
              <w:rPr>
                <w:rFonts w:ascii="Times New Roman" w:hAnsi="Times New Roman" w:cs="Times New Roman"/>
                <w:sz w:val="20"/>
              </w:rPr>
            </w:pPr>
            <w:proofErr w:type="spellStart"/>
            <w:r w:rsidRPr="000C21AB">
              <w:rPr>
                <w:rFonts w:ascii="Times New Roman" w:hAnsi="Times New Roman" w:cs="Times New Roman"/>
                <w:sz w:val="20"/>
              </w:rPr>
              <w:t>Moderna</w:t>
            </w:r>
            <w:proofErr w:type="spellEnd"/>
          </w:p>
        </w:tc>
        <w:tc>
          <w:tcPr>
            <w:tcW w:w="1312" w:type="pct"/>
            <w:vAlign w:val="center"/>
          </w:tcPr>
          <w:p w14:paraId="11B31186"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&lt;24 h</w:t>
            </w:r>
          </w:p>
        </w:tc>
        <w:tc>
          <w:tcPr>
            <w:tcW w:w="1447" w:type="pct"/>
            <w:vAlign w:val="center"/>
          </w:tcPr>
          <w:p w14:paraId="1DB407AA"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Yes</w:t>
            </w:r>
          </w:p>
        </w:tc>
        <w:tc>
          <w:tcPr>
            <w:tcW w:w="1259" w:type="pct"/>
            <w:vAlign w:val="center"/>
          </w:tcPr>
          <w:p w14:paraId="1E96D143"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-20°C</w:t>
            </w:r>
          </w:p>
        </w:tc>
      </w:tr>
      <w:tr w:rsidR="000C21AB" w:rsidRPr="000C21AB" w14:paraId="3A7A79B2" w14:textId="77777777" w:rsidTr="000C21AB">
        <w:trPr>
          <w:trHeight w:val="70"/>
          <w:jc w:val="center"/>
        </w:trPr>
        <w:tc>
          <w:tcPr>
            <w:tcW w:w="983" w:type="pct"/>
            <w:vAlign w:val="center"/>
          </w:tcPr>
          <w:p w14:paraId="20D1A778" w14:textId="77777777" w:rsidR="000C21AB" w:rsidRPr="000C21AB" w:rsidRDefault="000C21AB" w:rsidP="000C21AB">
            <w:pPr>
              <w:jc w:val="center"/>
              <w:rPr>
                <w:rFonts w:ascii="Times New Roman" w:hAnsi="Times New Roman" w:cs="Times New Roman"/>
                <w:sz w:val="20"/>
              </w:rPr>
            </w:pPr>
            <w:proofErr w:type="spellStart"/>
            <w:r w:rsidRPr="000C21AB">
              <w:rPr>
                <w:rFonts w:ascii="Times New Roman" w:hAnsi="Times New Roman" w:cs="Times New Roman"/>
                <w:sz w:val="20"/>
              </w:rPr>
              <w:t>CureVac</w:t>
            </w:r>
            <w:proofErr w:type="spellEnd"/>
          </w:p>
        </w:tc>
        <w:tc>
          <w:tcPr>
            <w:tcW w:w="1312" w:type="pct"/>
            <w:vAlign w:val="center"/>
          </w:tcPr>
          <w:p w14:paraId="2612587F"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3 days</w:t>
            </w:r>
          </w:p>
        </w:tc>
        <w:tc>
          <w:tcPr>
            <w:tcW w:w="1447" w:type="pct"/>
            <w:vAlign w:val="center"/>
          </w:tcPr>
          <w:p w14:paraId="28D9D8EE"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In Development</w:t>
            </w:r>
          </w:p>
        </w:tc>
        <w:tc>
          <w:tcPr>
            <w:tcW w:w="1259" w:type="pct"/>
            <w:vAlign w:val="center"/>
          </w:tcPr>
          <w:p w14:paraId="4863DF4D"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2–8°C</w:t>
            </w:r>
          </w:p>
        </w:tc>
      </w:tr>
      <w:tr w:rsidR="000C21AB" w:rsidRPr="000C21AB" w14:paraId="5A37BFFD" w14:textId="77777777" w:rsidTr="000C21AB">
        <w:trPr>
          <w:trHeight w:val="70"/>
          <w:jc w:val="center"/>
        </w:trPr>
        <w:tc>
          <w:tcPr>
            <w:tcW w:w="983" w:type="pct"/>
            <w:vAlign w:val="center"/>
          </w:tcPr>
          <w:p w14:paraId="079B6AA6"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Arcturus</w:t>
            </w:r>
          </w:p>
        </w:tc>
        <w:tc>
          <w:tcPr>
            <w:tcW w:w="1312" w:type="pct"/>
            <w:vAlign w:val="center"/>
          </w:tcPr>
          <w:p w14:paraId="705712A1"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7 days</w:t>
            </w:r>
          </w:p>
        </w:tc>
        <w:tc>
          <w:tcPr>
            <w:tcW w:w="1447" w:type="pct"/>
            <w:vAlign w:val="center"/>
          </w:tcPr>
          <w:p w14:paraId="5772B0C2"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Yes</w:t>
            </w:r>
          </w:p>
        </w:tc>
        <w:tc>
          <w:tcPr>
            <w:tcW w:w="1259" w:type="pct"/>
            <w:vAlign w:val="center"/>
          </w:tcPr>
          <w:p w14:paraId="65F3EF7F"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2–8°C</w:t>
            </w:r>
          </w:p>
        </w:tc>
      </w:tr>
      <w:tr w:rsidR="000C21AB" w:rsidRPr="000C21AB" w14:paraId="5A7A83B2" w14:textId="77777777" w:rsidTr="000C21AB">
        <w:trPr>
          <w:trHeight w:val="70"/>
          <w:jc w:val="center"/>
        </w:trPr>
        <w:tc>
          <w:tcPr>
            <w:tcW w:w="983" w:type="pct"/>
            <w:vAlign w:val="center"/>
          </w:tcPr>
          <w:p w14:paraId="27CD397C" w14:textId="77777777" w:rsidR="000C21AB" w:rsidRPr="000C21AB" w:rsidRDefault="000C21AB" w:rsidP="000C21AB">
            <w:pPr>
              <w:jc w:val="center"/>
              <w:rPr>
                <w:rFonts w:ascii="Times New Roman" w:hAnsi="Times New Roman" w:cs="Times New Roman"/>
                <w:sz w:val="20"/>
              </w:rPr>
            </w:pPr>
            <w:proofErr w:type="spellStart"/>
            <w:r w:rsidRPr="000C21AB">
              <w:rPr>
                <w:rFonts w:ascii="Times New Roman" w:hAnsi="Times New Roman" w:cs="Times New Roman"/>
                <w:sz w:val="20"/>
              </w:rPr>
              <w:t>BioNTech</w:t>
            </w:r>
            <w:proofErr w:type="spellEnd"/>
          </w:p>
        </w:tc>
        <w:tc>
          <w:tcPr>
            <w:tcW w:w="1312" w:type="pct"/>
            <w:vAlign w:val="center"/>
          </w:tcPr>
          <w:p w14:paraId="07230518"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5 days</w:t>
            </w:r>
          </w:p>
        </w:tc>
        <w:tc>
          <w:tcPr>
            <w:tcW w:w="1447" w:type="pct"/>
            <w:vAlign w:val="center"/>
          </w:tcPr>
          <w:p w14:paraId="6587224A"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Yes</w:t>
            </w:r>
          </w:p>
        </w:tc>
        <w:tc>
          <w:tcPr>
            <w:tcW w:w="1259" w:type="pct"/>
            <w:vAlign w:val="center"/>
          </w:tcPr>
          <w:p w14:paraId="0C3B500C"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-20°C</w:t>
            </w:r>
          </w:p>
        </w:tc>
      </w:tr>
    </w:tbl>
    <w:p w14:paraId="08E87A00" w14:textId="2723DAE9" w:rsidR="000C21AB" w:rsidRPr="000C21AB" w:rsidRDefault="000C21AB" w:rsidP="000C21AB">
      <w:pPr>
        <w:pStyle w:val="NormalWeb"/>
        <w:numPr>
          <w:ilvl w:val="0"/>
          <w:numId w:val="27"/>
        </w:numPr>
        <w:shd w:val="clear" w:color="auto" w:fill="FFFFFF"/>
        <w:spacing w:before="120" w:beforeAutospacing="0" w:after="120" w:afterAutospacing="0"/>
        <w:ind w:left="274" w:hanging="274"/>
        <w:jc w:val="both"/>
        <w:rPr>
          <w:b/>
          <w:bCs/>
          <w:color w:val="000000"/>
          <w:sz w:val="22"/>
          <w:szCs w:val="22"/>
        </w:rPr>
      </w:pPr>
      <w:r w:rsidRPr="000C21AB">
        <w:rPr>
          <w:b/>
          <w:bCs/>
          <w:color w:val="000000"/>
          <w:sz w:val="22"/>
          <w:szCs w:val="22"/>
        </w:rPr>
        <w:t xml:space="preserve">IMMUNOGENICITY AND SAFETY CONSIDERATIONS </w:t>
      </w:r>
    </w:p>
    <w:p w14:paraId="599CFE95" w14:textId="77777777" w:rsidR="000C21AB" w:rsidRPr="000C21AB" w:rsidRDefault="000C21AB" w:rsidP="000C21AB">
      <w:pPr>
        <w:spacing w:before="120" w:after="120" w:line="240" w:lineRule="auto"/>
        <w:jc w:val="both"/>
        <w:rPr>
          <w:rFonts w:ascii="Times New Roman" w:hAnsi="Times New Roman" w:cs="Times New Roman"/>
          <w:sz w:val="20"/>
        </w:rPr>
      </w:pPr>
      <w:r w:rsidRPr="000C21AB">
        <w:rPr>
          <w:rFonts w:ascii="Times New Roman" w:hAnsi="Times New Roman" w:cs="Times New Roman"/>
          <w:sz w:val="20"/>
        </w:rPr>
        <w:t>Repeated administration may trigger immune responses. Modified mRNA constructs and concurrent use of immunosuppressants help mitigate these effects (Verbeke et al., 2021).</w:t>
      </w:r>
    </w:p>
    <w:p w14:paraId="76DF76E3" w14:textId="0390916B" w:rsidR="000C21AB" w:rsidRPr="000C21AB" w:rsidRDefault="000C21AB" w:rsidP="000C21AB">
      <w:pPr>
        <w:spacing w:before="120" w:after="120" w:line="240" w:lineRule="auto"/>
        <w:jc w:val="both"/>
        <w:rPr>
          <w:rFonts w:ascii="Times New Roman" w:hAnsi="Times New Roman" w:cs="Times New Roman"/>
          <w:b/>
          <w:bCs/>
          <w:sz w:val="20"/>
        </w:rPr>
      </w:pPr>
      <w:r w:rsidRPr="000C21AB">
        <w:rPr>
          <w:rFonts w:ascii="Times New Roman" w:hAnsi="Times New Roman" w:cs="Times New Roman"/>
          <w:b/>
          <w:bCs/>
          <w:sz w:val="20"/>
        </w:rPr>
        <w:t>Table</w:t>
      </w:r>
      <w:r>
        <w:rPr>
          <w:rFonts w:ascii="Times New Roman" w:hAnsi="Times New Roman" w:cs="Times New Roman"/>
          <w:b/>
          <w:bCs/>
          <w:sz w:val="20"/>
        </w:rPr>
        <w:t xml:space="preserve">. </w:t>
      </w:r>
      <w:r w:rsidRPr="000C21AB">
        <w:rPr>
          <w:rFonts w:ascii="Times New Roman" w:hAnsi="Times New Roman" w:cs="Times New Roman"/>
          <w:bCs/>
          <w:i/>
          <w:sz w:val="20"/>
        </w:rPr>
        <w:t>Immunogenicity and Dosing Tolerability</w:t>
      </w:r>
    </w:p>
    <w:tbl>
      <w:tblPr>
        <w:tblStyle w:val="TableGrid"/>
        <w:tblW w:w="5000" w:type="pct"/>
        <w:tblLook w:val="04A0" w:firstRow="1" w:lastRow="0" w:firstColumn="1" w:lastColumn="0" w:noHBand="0" w:noVBand="1"/>
      </w:tblPr>
      <w:tblGrid>
        <w:gridCol w:w="1794"/>
        <w:gridCol w:w="1982"/>
        <w:gridCol w:w="2339"/>
        <w:gridCol w:w="2901"/>
      </w:tblGrid>
      <w:tr w:rsidR="000C21AB" w:rsidRPr="000C21AB" w14:paraId="7BFCE7D8" w14:textId="77777777" w:rsidTr="000C21AB">
        <w:trPr>
          <w:trHeight w:val="70"/>
        </w:trPr>
        <w:tc>
          <w:tcPr>
            <w:tcW w:w="995" w:type="pct"/>
            <w:vAlign w:val="center"/>
          </w:tcPr>
          <w:p w14:paraId="3BEA7EA8" w14:textId="77777777" w:rsidR="000C21AB" w:rsidRPr="000C21AB" w:rsidRDefault="000C21AB" w:rsidP="000C21AB">
            <w:pPr>
              <w:jc w:val="center"/>
              <w:rPr>
                <w:rFonts w:ascii="Times New Roman" w:hAnsi="Times New Roman" w:cs="Times New Roman"/>
                <w:b/>
                <w:bCs/>
                <w:sz w:val="20"/>
              </w:rPr>
            </w:pPr>
            <w:r w:rsidRPr="000C21AB">
              <w:rPr>
                <w:rFonts w:ascii="Times New Roman" w:hAnsi="Times New Roman" w:cs="Times New Roman"/>
                <w:b/>
                <w:bCs/>
                <w:sz w:val="20"/>
              </w:rPr>
              <w:t>Candidate</w:t>
            </w:r>
          </w:p>
        </w:tc>
        <w:tc>
          <w:tcPr>
            <w:tcW w:w="1099" w:type="pct"/>
            <w:vAlign w:val="center"/>
          </w:tcPr>
          <w:p w14:paraId="2E09DA22" w14:textId="77777777" w:rsidR="000C21AB" w:rsidRPr="000C21AB" w:rsidRDefault="000C21AB" w:rsidP="000C21AB">
            <w:pPr>
              <w:jc w:val="center"/>
              <w:rPr>
                <w:rFonts w:ascii="Times New Roman" w:hAnsi="Times New Roman" w:cs="Times New Roman"/>
                <w:b/>
                <w:bCs/>
                <w:sz w:val="20"/>
              </w:rPr>
            </w:pPr>
            <w:r w:rsidRPr="000C21AB">
              <w:rPr>
                <w:rFonts w:ascii="Times New Roman" w:hAnsi="Times New Roman" w:cs="Times New Roman"/>
                <w:b/>
                <w:bCs/>
                <w:sz w:val="20"/>
              </w:rPr>
              <w:t>Repeat Dosing</w:t>
            </w:r>
          </w:p>
        </w:tc>
        <w:tc>
          <w:tcPr>
            <w:tcW w:w="1297" w:type="pct"/>
            <w:vAlign w:val="center"/>
          </w:tcPr>
          <w:p w14:paraId="4B0221CB" w14:textId="77777777" w:rsidR="000C21AB" w:rsidRPr="000C21AB" w:rsidRDefault="000C21AB" w:rsidP="000C21AB">
            <w:pPr>
              <w:jc w:val="center"/>
              <w:rPr>
                <w:rFonts w:ascii="Times New Roman" w:hAnsi="Times New Roman" w:cs="Times New Roman"/>
                <w:b/>
                <w:bCs/>
                <w:sz w:val="20"/>
              </w:rPr>
            </w:pPr>
            <w:r w:rsidRPr="000C21AB">
              <w:rPr>
                <w:rFonts w:ascii="Times New Roman" w:hAnsi="Times New Roman" w:cs="Times New Roman"/>
                <w:b/>
                <w:bCs/>
                <w:sz w:val="20"/>
              </w:rPr>
              <w:t>Innate Activation</w:t>
            </w:r>
          </w:p>
        </w:tc>
        <w:tc>
          <w:tcPr>
            <w:tcW w:w="1609" w:type="pct"/>
            <w:vAlign w:val="center"/>
          </w:tcPr>
          <w:p w14:paraId="2BD7419D" w14:textId="77777777" w:rsidR="000C21AB" w:rsidRPr="000C21AB" w:rsidRDefault="000C21AB" w:rsidP="000C21AB">
            <w:pPr>
              <w:jc w:val="center"/>
              <w:rPr>
                <w:rFonts w:ascii="Times New Roman" w:hAnsi="Times New Roman" w:cs="Times New Roman"/>
                <w:b/>
                <w:bCs/>
                <w:sz w:val="20"/>
              </w:rPr>
            </w:pPr>
            <w:r w:rsidRPr="000C21AB">
              <w:rPr>
                <w:rFonts w:ascii="Times New Roman" w:hAnsi="Times New Roman" w:cs="Times New Roman"/>
                <w:b/>
                <w:bCs/>
                <w:sz w:val="20"/>
              </w:rPr>
              <w:t>Immunosuppression Needed</w:t>
            </w:r>
          </w:p>
        </w:tc>
      </w:tr>
      <w:tr w:rsidR="000C21AB" w:rsidRPr="000C21AB" w14:paraId="39D2A6E3" w14:textId="77777777" w:rsidTr="000C21AB">
        <w:trPr>
          <w:trHeight w:val="70"/>
        </w:trPr>
        <w:tc>
          <w:tcPr>
            <w:tcW w:w="995" w:type="pct"/>
            <w:vAlign w:val="center"/>
          </w:tcPr>
          <w:p w14:paraId="30573212"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mRNA-4157</w:t>
            </w:r>
          </w:p>
        </w:tc>
        <w:tc>
          <w:tcPr>
            <w:tcW w:w="1099" w:type="pct"/>
            <w:vAlign w:val="center"/>
          </w:tcPr>
          <w:p w14:paraId="1C28A5E5"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Yes</w:t>
            </w:r>
          </w:p>
        </w:tc>
        <w:tc>
          <w:tcPr>
            <w:tcW w:w="1297" w:type="pct"/>
            <w:vAlign w:val="center"/>
          </w:tcPr>
          <w:p w14:paraId="5E71155C"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Low</w:t>
            </w:r>
          </w:p>
        </w:tc>
        <w:tc>
          <w:tcPr>
            <w:tcW w:w="1609" w:type="pct"/>
            <w:vAlign w:val="center"/>
          </w:tcPr>
          <w:p w14:paraId="334D5C17"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No</w:t>
            </w:r>
          </w:p>
        </w:tc>
      </w:tr>
      <w:tr w:rsidR="000C21AB" w:rsidRPr="000C21AB" w14:paraId="346AD3E8" w14:textId="77777777" w:rsidTr="000C21AB">
        <w:trPr>
          <w:trHeight w:val="70"/>
        </w:trPr>
        <w:tc>
          <w:tcPr>
            <w:tcW w:w="995" w:type="pct"/>
            <w:vAlign w:val="center"/>
          </w:tcPr>
          <w:p w14:paraId="615925B5"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mRNA-3705</w:t>
            </w:r>
          </w:p>
        </w:tc>
        <w:tc>
          <w:tcPr>
            <w:tcW w:w="1099" w:type="pct"/>
            <w:vAlign w:val="center"/>
          </w:tcPr>
          <w:p w14:paraId="34088964"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Yes (with steroids)</w:t>
            </w:r>
          </w:p>
        </w:tc>
        <w:tc>
          <w:tcPr>
            <w:tcW w:w="1297" w:type="pct"/>
            <w:vAlign w:val="center"/>
          </w:tcPr>
          <w:p w14:paraId="468B85BD"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Moderate</w:t>
            </w:r>
          </w:p>
        </w:tc>
        <w:tc>
          <w:tcPr>
            <w:tcW w:w="1609" w:type="pct"/>
            <w:vAlign w:val="center"/>
          </w:tcPr>
          <w:p w14:paraId="71967747"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Yes</w:t>
            </w:r>
          </w:p>
        </w:tc>
      </w:tr>
      <w:tr w:rsidR="000C21AB" w:rsidRPr="000C21AB" w14:paraId="5DA1603F" w14:textId="77777777" w:rsidTr="000C21AB">
        <w:trPr>
          <w:trHeight w:val="70"/>
        </w:trPr>
        <w:tc>
          <w:tcPr>
            <w:tcW w:w="995" w:type="pct"/>
            <w:vAlign w:val="center"/>
          </w:tcPr>
          <w:p w14:paraId="01504187"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ARCT-810</w:t>
            </w:r>
          </w:p>
        </w:tc>
        <w:tc>
          <w:tcPr>
            <w:tcW w:w="1099" w:type="pct"/>
            <w:vAlign w:val="center"/>
          </w:tcPr>
          <w:p w14:paraId="7EEE8E23"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Uncertain</w:t>
            </w:r>
          </w:p>
        </w:tc>
        <w:tc>
          <w:tcPr>
            <w:tcW w:w="1297" w:type="pct"/>
            <w:vAlign w:val="center"/>
          </w:tcPr>
          <w:p w14:paraId="20CFDA77"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High</w:t>
            </w:r>
          </w:p>
        </w:tc>
        <w:tc>
          <w:tcPr>
            <w:tcW w:w="1609" w:type="pct"/>
            <w:vAlign w:val="center"/>
          </w:tcPr>
          <w:p w14:paraId="60FCCF16"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Yes</w:t>
            </w:r>
          </w:p>
        </w:tc>
      </w:tr>
      <w:tr w:rsidR="000C21AB" w:rsidRPr="000C21AB" w14:paraId="7E497DEE" w14:textId="77777777" w:rsidTr="000C21AB">
        <w:trPr>
          <w:trHeight w:val="70"/>
        </w:trPr>
        <w:tc>
          <w:tcPr>
            <w:tcW w:w="995" w:type="pct"/>
            <w:vAlign w:val="center"/>
          </w:tcPr>
          <w:p w14:paraId="12F64840"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BNT111</w:t>
            </w:r>
          </w:p>
        </w:tc>
        <w:tc>
          <w:tcPr>
            <w:tcW w:w="1099" w:type="pct"/>
            <w:vAlign w:val="center"/>
          </w:tcPr>
          <w:p w14:paraId="0D3E804B"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Yes</w:t>
            </w:r>
          </w:p>
        </w:tc>
        <w:tc>
          <w:tcPr>
            <w:tcW w:w="1297" w:type="pct"/>
            <w:vAlign w:val="center"/>
          </w:tcPr>
          <w:p w14:paraId="31CC63D6"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Low</w:t>
            </w:r>
          </w:p>
        </w:tc>
        <w:tc>
          <w:tcPr>
            <w:tcW w:w="1609" w:type="pct"/>
            <w:vAlign w:val="center"/>
          </w:tcPr>
          <w:p w14:paraId="091ED120" w14:textId="77777777" w:rsidR="000C21AB" w:rsidRPr="000C21AB" w:rsidRDefault="000C21AB" w:rsidP="000C21AB">
            <w:pPr>
              <w:jc w:val="center"/>
              <w:rPr>
                <w:rFonts w:ascii="Times New Roman" w:hAnsi="Times New Roman" w:cs="Times New Roman"/>
                <w:sz w:val="20"/>
              </w:rPr>
            </w:pPr>
            <w:r w:rsidRPr="000C21AB">
              <w:rPr>
                <w:rFonts w:ascii="Times New Roman" w:hAnsi="Times New Roman" w:cs="Times New Roman"/>
                <w:sz w:val="20"/>
              </w:rPr>
              <w:t>No</w:t>
            </w:r>
          </w:p>
        </w:tc>
      </w:tr>
    </w:tbl>
    <w:p w14:paraId="3B23718B" w14:textId="022897F0" w:rsidR="000C21AB" w:rsidRPr="000C21AB" w:rsidRDefault="000C21AB" w:rsidP="000C21AB">
      <w:pPr>
        <w:pStyle w:val="NormalWeb"/>
        <w:numPr>
          <w:ilvl w:val="0"/>
          <w:numId w:val="27"/>
        </w:numPr>
        <w:shd w:val="clear" w:color="auto" w:fill="FFFFFF"/>
        <w:spacing w:before="120" w:beforeAutospacing="0" w:after="120" w:afterAutospacing="0"/>
        <w:ind w:left="274" w:hanging="274"/>
        <w:jc w:val="both"/>
        <w:rPr>
          <w:b/>
          <w:bCs/>
          <w:color w:val="000000"/>
          <w:sz w:val="22"/>
          <w:szCs w:val="22"/>
        </w:rPr>
      </w:pPr>
      <w:r w:rsidRPr="000C21AB">
        <w:rPr>
          <w:b/>
          <w:bCs/>
          <w:color w:val="000000"/>
          <w:sz w:val="22"/>
          <w:szCs w:val="22"/>
        </w:rPr>
        <w:t>FUTURE PERSPECTIVES</w:t>
      </w:r>
    </w:p>
    <w:p w14:paraId="01F4AB8F" w14:textId="17C9FE0A" w:rsidR="000C21AB" w:rsidRPr="000C21AB" w:rsidRDefault="000C21AB" w:rsidP="000C21AB">
      <w:pPr>
        <w:pStyle w:val="ListParagraph"/>
        <w:spacing w:before="120" w:after="120" w:line="247" w:lineRule="auto"/>
        <w:ind w:left="0"/>
        <w:contextualSpacing w:val="0"/>
        <w:jc w:val="both"/>
        <w:rPr>
          <w:rFonts w:ascii="Times New Roman" w:hAnsi="Times New Roman" w:cs="Times New Roman"/>
          <w:b/>
          <w:bCs/>
          <w:sz w:val="20"/>
        </w:rPr>
      </w:pPr>
      <w:r w:rsidRPr="000C21AB">
        <w:rPr>
          <w:rFonts w:ascii="Times New Roman" w:hAnsi="Times New Roman" w:cs="Times New Roman"/>
          <w:sz w:val="20"/>
        </w:rPr>
        <w:t xml:space="preserve">The modularity of mRNA enables rapid personalization of therapeutics and paves the way for a new generation of more potent, stable, and versatile RNA-based medicines. One major advancement is the development of </w:t>
      </w:r>
      <w:r w:rsidRPr="000C21AB">
        <w:rPr>
          <w:rFonts w:ascii="Times New Roman" w:hAnsi="Times New Roman" w:cs="Times New Roman"/>
          <w:b/>
          <w:bCs/>
          <w:sz w:val="20"/>
        </w:rPr>
        <w:t>self-amplifying RNA (</w:t>
      </w:r>
      <w:proofErr w:type="spellStart"/>
      <w:r w:rsidRPr="000C21AB">
        <w:rPr>
          <w:rFonts w:ascii="Times New Roman" w:hAnsi="Times New Roman" w:cs="Times New Roman"/>
          <w:b/>
          <w:bCs/>
          <w:sz w:val="20"/>
        </w:rPr>
        <w:t>saRNA</w:t>
      </w:r>
      <w:proofErr w:type="spellEnd"/>
      <w:r w:rsidRPr="000C21AB">
        <w:rPr>
          <w:rFonts w:ascii="Times New Roman" w:hAnsi="Times New Roman" w:cs="Times New Roman"/>
          <w:b/>
          <w:bCs/>
          <w:sz w:val="20"/>
        </w:rPr>
        <w:t>)</w:t>
      </w:r>
      <w:r w:rsidRPr="000C21AB">
        <w:rPr>
          <w:rFonts w:ascii="Times New Roman" w:hAnsi="Times New Roman" w:cs="Times New Roman"/>
          <w:sz w:val="20"/>
        </w:rPr>
        <w:t xml:space="preserve">, which encodes both the target antigen or therapeutic protein and a replicase derived from alphaviruses. Once inside the host cell, </w:t>
      </w:r>
      <w:proofErr w:type="spellStart"/>
      <w:r w:rsidRPr="000C21AB">
        <w:rPr>
          <w:rFonts w:ascii="Times New Roman" w:hAnsi="Times New Roman" w:cs="Times New Roman"/>
          <w:sz w:val="20"/>
        </w:rPr>
        <w:t>saRNA</w:t>
      </w:r>
      <w:proofErr w:type="spellEnd"/>
      <w:r w:rsidRPr="000C21AB">
        <w:rPr>
          <w:rFonts w:ascii="Times New Roman" w:hAnsi="Times New Roman" w:cs="Times New Roman"/>
          <w:sz w:val="20"/>
        </w:rPr>
        <w:t xml:space="preserve"> replicates in the cytoplasm, resulting in significantly higher protein expression from a smaller dose compared to conventional mRNA (Vogel et al., 2018). This dose-sparing feature is particularly valuable for mass immunization campaigns, emerging infectious diseases, and chronic disease treatments.</w:t>
      </w:r>
    </w:p>
    <w:p w14:paraId="22663DA8" w14:textId="77777777" w:rsidR="000C21AB" w:rsidRPr="000C21AB" w:rsidRDefault="000C21AB" w:rsidP="000C21AB">
      <w:pPr>
        <w:spacing w:before="120" w:after="120" w:line="247" w:lineRule="auto"/>
        <w:jc w:val="both"/>
        <w:rPr>
          <w:rFonts w:ascii="Times New Roman" w:hAnsi="Times New Roman" w:cs="Times New Roman"/>
          <w:sz w:val="20"/>
        </w:rPr>
      </w:pPr>
      <w:r w:rsidRPr="000C21AB">
        <w:rPr>
          <w:rFonts w:ascii="Times New Roman" w:hAnsi="Times New Roman" w:cs="Times New Roman"/>
          <w:sz w:val="20"/>
        </w:rPr>
        <w:t xml:space="preserve">Another promising platform is </w:t>
      </w:r>
      <w:r w:rsidRPr="000C21AB">
        <w:rPr>
          <w:rFonts w:ascii="Times New Roman" w:hAnsi="Times New Roman" w:cs="Times New Roman"/>
          <w:b/>
          <w:bCs/>
          <w:sz w:val="20"/>
        </w:rPr>
        <w:t>circular RNA (</w:t>
      </w:r>
      <w:proofErr w:type="spellStart"/>
      <w:r w:rsidRPr="000C21AB">
        <w:rPr>
          <w:rFonts w:ascii="Times New Roman" w:hAnsi="Times New Roman" w:cs="Times New Roman"/>
          <w:b/>
          <w:bCs/>
          <w:sz w:val="20"/>
        </w:rPr>
        <w:t>circRNA</w:t>
      </w:r>
      <w:proofErr w:type="spellEnd"/>
      <w:r w:rsidRPr="000C21AB">
        <w:rPr>
          <w:rFonts w:ascii="Times New Roman" w:hAnsi="Times New Roman" w:cs="Times New Roman"/>
          <w:b/>
          <w:bCs/>
          <w:sz w:val="20"/>
        </w:rPr>
        <w:t>)</w:t>
      </w:r>
      <w:r w:rsidRPr="000C21AB">
        <w:rPr>
          <w:rFonts w:ascii="Times New Roman" w:hAnsi="Times New Roman" w:cs="Times New Roman"/>
          <w:sz w:val="20"/>
        </w:rPr>
        <w:t xml:space="preserve">, which forms covalently closed loop structures without 5′ or 3′ ends, rendering them resistant to exonuclease-mediated degradation. Engineered </w:t>
      </w:r>
      <w:proofErr w:type="spellStart"/>
      <w:r w:rsidRPr="000C21AB">
        <w:rPr>
          <w:rFonts w:ascii="Times New Roman" w:hAnsi="Times New Roman" w:cs="Times New Roman"/>
          <w:sz w:val="20"/>
        </w:rPr>
        <w:t>circRNAs</w:t>
      </w:r>
      <w:proofErr w:type="spellEnd"/>
      <w:r w:rsidRPr="000C21AB">
        <w:rPr>
          <w:rFonts w:ascii="Times New Roman" w:hAnsi="Times New Roman" w:cs="Times New Roman"/>
          <w:sz w:val="20"/>
        </w:rPr>
        <w:t xml:space="preserve"> equipped with internal ribosome entry sites (IRES) or N6-methyladenosine (m6A) modifications can support robust and prolonged protein translation, with lower immunogenicity than linear mRNA (</w:t>
      </w:r>
      <w:proofErr w:type="spellStart"/>
      <w:r w:rsidRPr="000C21AB">
        <w:rPr>
          <w:rFonts w:ascii="Times New Roman" w:hAnsi="Times New Roman" w:cs="Times New Roman"/>
          <w:sz w:val="20"/>
        </w:rPr>
        <w:t>Wesselhoeft</w:t>
      </w:r>
      <w:proofErr w:type="spellEnd"/>
      <w:r w:rsidRPr="000C21AB">
        <w:rPr>
          <w:rFonts w:ascii="Times New Roman" w:hAnsi="Times New Roman" w:cs="Times New Roman"/>
          <w:sz w:val="20"/>
        </w:rPr>
        <w:t xml:space="preserve"> et al., 2018; Qu et al., </w:t>
      </w:r>
      <w:r w:rsidRPr="000C21AB">
        <w:rPr>
          <w:rFonts w:ascii="Times New Roman" w:hAnsi="Times New Roman" w:cs="Times New Roman"/>
          <w:sz w:val="20"/>
        </w:rPr>
        <w:lastRenderedPageBreak/>
        <w:t xml:space="preserve">2023). These properties make </w:t>
      </w:r>
      <w:proofErr w:type="spellStart"/>
      <w:r w:rsidRPr="000C21AB">
        <w:rPr>
          <w:rFonts w:ascii="Times New Roman" w:hAnsi="Times New Roman" w:cs="Times New Roman"/>
          <w:sz w:val="20"/>
        </w:rPr>
        <w:t>circRNA</w:t>
      </w:r>
      <w:proofErr w:type="spellEnd"/>
      <w:r w:rsidRPr="000C21AB">
        <w:rPr>
          <w:rFonts w:ascii="Times New Roman" w:hAnsi="Times New Roman" w:cs="Times New Roman"/>
          <w:sz w:val="20"/>
        </w:rPr>
        <w:t xml:space="preserve"> an attractive modality for applications requiring sustained protein expression, such as metabolic diseases, neurodegeneration, and long-acting therapeutics.</w:t>
      </w:r>
    </w:p>
    <w:p w14:paraId="47580C0F" w14:textId="77777777" w:rsidR="000C21AB" w:rsidRPr="000C21AB" w:rsidRDefault="000C21AB" w:rsidP="000C21AB">
      <w:pPr>
        <w:spacing w:before="120" w:after="120" w:line="247" w:lineRule="auto"/>
        <w:jc w:val="both"/>
        <w:rPr>
          <w:rFonts w:ascii="Times New Roman" w:hAnsi="Times New Roman" w:cs="Times New Roman"/>
          <w:sz w:val="20"/>
        </w:rPr>
      </w:pPr>
      <w:r w:rsidRPr="000C21AB">
        <w:rPr>
          <w:rFonts w:ascii="Times New Roman" w:hAnsi="Times New Roman" w:cs="Times New Roman"/>
          <w:sz w:val="20"/>
        </w:rPr>
        <w:t xml:space="preserve">To further enhance mRNA functionality and reduce adverse immune responses, </w:t>
      </w:r>
      <w:r w:rsidRPr="000C21AB">
        <w:rPr>
          <w:rFonts w:ascii="Times New Roman" w:hAnsi="Times New Roman" w:cs="Times New Roman"/>
          <w:b/>
          <w:bCs/>
          <w:sz w:val="20"/>
        </w:rPr>
        <w:t>AI-driven design platforms</w:t>
      </w:r>
      <w:r w:rsidRPr="000C21AB">
        <w:rPr>
          <w:rFonts w:ascii="Times New Roman" w:hAnsi="Times New Roman" w:cs="Times New Roman"/>
          <w:sz w:val="20"/>
        </w:rPr>
        <w:t xml:space="preserve"> are being increasingly utilized. These systems apply deep learning and sequence optimization algorithms to improve codon usage, RNA secondary structure, untranslated regions (UTRs), and motifs that affect stability, translation efficiency, and immunogenicity (Linder et al., 2022). AI-based neoantigen prediction tools are also accelerating personalized cancer vaccine development by identifying </w:t>
      </w:r>
      <w:proofErr w:type="spellStart"/>
      <w:r w:rsidRPr="000C21AB">
        <w:rPr>
          <w:rFonts w:ascii="Times New Roman" w:hAnsi="Times New Roman" w:cs="Times New Roman"/>
          <w:sz w:val="20"/>
        </w:rPr>
        <w:t>tumor</w:t>
      </w:r>
      <w:proofErr w:type="spellEnd"/>
      <w:r w:rsidRPr="000C21AB">
        <w:rPr>
          <w:rFonts w:ascii="Times New Roman" w:hAnsi="Times New Roman" w:cs="Times New Roman"/>
          <w:sz w:val="20"/>
        </w:rPr>
        <w:t>-specific antigens with high MHC-binding affinity.</w:t>
      </w:r>
    </w:p>
    <w:p w14:paraId="17D36482" w14:textId="77777777" w:rsidR="000C21AB" w:rsidRPr="000C21AB" w:rsidRDefault="000C21AB" w:rsidP="000C21AB">
      <w:pPr>
        <w:spacing w:before="120" w:after="120" w:line="240" w:lineRule="auto"/>
        <w:jc w:val="both"/>
        <w:rPr>
          <w:rFonts w:ascii="Times New Roman" w:hAnsi="Times New Roman" w:cs="Times New Roman"/>
          <w:sz w:val="20"/>
        </w:rPr>
      </w:pPr>
      <w:r w:rsidRPr="000C21AB">
        <w:rPr>
          <w:rFonts w:ascii="Times New Roman" w:hAnsi="Times New Roman" w:cs="Times New Roman"/>
          <w:sz w:val="20"/>
        </w:rPr>
        <w:t xml:space="preserve">In parallel, the integration of </w:t>
      </w:r>
      <w:r w:rsidRPr="000C21AB">
        <w:rPr>
          <w:rFonts w:ascii="Times New Roman" w:hAnsi="Times New Roman" w:cs="Times New Roman"/>
          <w:b/>
          <w:bCs/>
          <w:sz w:val="20"/>
        </w:rPr>
        <w:t>mRNA with CRISPR-Cas genome editing</w:t>
      </w:r>
      <w:r w:rsidRPr="000C21AB">
        <w:rPr>
          <w:rFonts w:ascii="Times New Roman" w:hAnsi="Times New Roman" w:cs="Times New Roman"/>
          <w:sz w:val="20"/>
        </w:rPr>
        <w:t xml:space="preserve"> is creating new opportunities for transient and controlled gene modulation. Delivering Cas9 or base editor components as mRNA enables high editing efficiency while minimizing off-target effects and permanent genomic alterations (Yin et al., 2016). This strategy is particularly suited for treating monogenic diseases, </w:t>
      </w:r>
      <w:proofErr w:type="spellStart"/>
      <w:r w:rsidRPr="000C21AB">
        <w:rPr>
          <w:rFonts w:ascii="Times New Roman" w:hAnsi="Times New Roman" w:cs="Times New Roman"/>
          <w:sz w:val="20"/>
        </w:rPr>
        <w:t>hematological</w:t>
      </w:r>
      <w:proofErr w:type="spellEnd"/>
      <w:r w:rsidRPr="000C21AB">
        <w:rPr>
          <w:rFonts w:ascii="Times New Roman" w:hAnsi="Times New Roman" w:cs="Times New Roman"/>
          <w:sz w:val="20"/>
        </w:rPr>
        <w:t xml:space="preserve"> disorders, and for ex vivo editing of autologous cell therapies.</w:t>
      </w:r>
    </w:p>
    <w:p w14:paraId="23C38687" w14:textId="77777777" w:rsidR="000C21AB" w:rsidRPr="000C21AB" w:rsidRDefault="000C21AB" w:rsidP="000C21AB">
      <w:pPr>
        <w:spacing w:before="120" w:after="120" w:line="240" w:lineRule="auto"/>
        <w:jc w:val="both"/>
        <w:rPr>
          <w:rFonts w:ascii="Times New Roman" w:hAnsi="Times New Roman" w:cs="Times New Roman"/>
          <w:sz w:val="20"/>
        </w:rPr>
      </w:pPr>
      <w:r w:rsidRPr="000C21AB">
        <w:rPr>
          <w:rFonts w:ascii="Times New Roman" w:hAnsi="Times New Roman" w:cs="Times New Roman"/>
          <w:b/>
          <w:bCs/>
          <w:sz w:val="20"/>
        </w:rPr>
        <w:t>Manufacturing innovations</w:t>
      </w:r>
      <w:r w:rsidRPr="000C21AB">
        <w:rPr>
          <w:rFonts w:ascii="Times New Roman" w:hAnsi="Times New Roman" w:cs="Times New Roman"/>
          <w:sz w:val="20"/>
        </w:rPr>
        <w:t xml:space="preserve"> are also critical to realizing the full potential of mRNA therapeutics. Emerging methods include </w:t>
      </w:r>
      <w:r w:rsidRPr="000C21AB">
        <w:rPr>
          <w:rFonts w:ascii="Times New Roman" w:hAnsi="Times New Roman" w:cs="Times New Roman"/>
          <w:b/>
          <w:bCs/>
          <w:sz w:val="20"/>
        </w:rPr>
        <w:t>continuous-flow microfluidic synthesis</w:t>
      </w:r>
      <w:r w:rsidRPr="000C21AB">
        <w:rPr>
          <w:rFonts w:ascii="Times New Roman" w:hAnsi="Times New Roman" w:cs="Times New Roman"/>
          <w:sz w:val="20"/>
        </w:rPr>
        <w:t xml:space="preserve">, </w:t>
      </w:r>
      <w:r w:rsidRPr="000C21AB">
        <w:rPr>
          <w:rFonts w:ascii="Times New Roman" w:hAnsi="Times New Roman" w:cs="Times New Roman"/>
          <w:b/>
          <w:bCs/>
          <w:sz w:val="20"/>
        </w:rPr>
        <w:t>enzymatic capping techniques</w:t>
      </w:r>
      <w:r w:rsidRPr="000C21AB">
        <w:rPr>
          <w:rFonts w:ascii="Times New Roman" w:hAnsi="Times New Roman" w:cs="Times New Roman"/>
          <w:sz w:val="20"/>
        </w:rPr>
        <w:t xml:space="preserve">, and </w:t>
      </w:r>
      <w:r w:rsidRPr="000C21AB">
        <w:rPr>
          <w:rFonts w:ascii="Times New Roman" w:hAnsi="Times New Roman" w:cs="Times New Roman"/>
          <w:b/>
          <w:bCs/>
          <w:sz w:val="20"/>
        </w:rPr>
        <w:t>cell-free systems</w:t>
      </w:r>
      <w:r w:rsidRPr="000C21AB">
        <w:rPr>
          <w:rFonts w:ascii="Times New Roman" w:hAnsi="Times New Roman" w:cs="Times New Roman"/>
          <w:sz w:val="20"/>
        </w:rPr>
        <w:t xml:space="preserve"> that offer scalable, GMP-compliant, and cost-efficient production (</w:t>
      </w:r>
      <w:proofErr w:type="spellStart"/>
      <w:r w:rsidRPr="000C21AB">
        <w:rPr>
          <w:rFonts w:ascii="Times New Roman" w:hAnsi="Times New Roman" w:cs="Times New Roman"/>
          <w:sz w:val="20"/>
        </w:rPr>
        <w:t>Sahin</w:t>
      </w:r>
      <w:proofErr w:type="spellEnd"/>
      <w:r w:rsidRPr="000C21AB">
        <w:rPr>
          <w:rFonts w:ascii="Times New Roman" w:hAnsi="Times New Roman" w:cs="Times New Roman"/>
          <w:sz w:val="20"/>
        </w:rPr>
        <w:t xml:space="preserve"> et al., 2014; </w:t>
      </w:r>
      <w:proofErr w:type="spellStart"/>
      <w:r w:rsidRPr="000C21AB">
        <w:rPr>
          <w:rFonts w:ascii="Times New Roman" w:hAnsi="Times New Roman" w:cs="Times New Roman"/>
          <w:sz w:val="20"/>
        </w:rPr>
        <w:t>Schlake</w:t>
      </w:r>
      <w:proofErr w:type="spellEnd"/>
      <w:r w:rsidRPr="000C21AB">
        <w:rPr>
          <w:rFonts w:ascii="Times New Roman" w:hAnsi="Times New Roman" w:cs="Times New Roman"/>
          <w:sz w:val="20"/>
        </w:rPr>
        <w:t xml:space="preserve"> et al., 2012). These technologies allow for rapid, on-demand synthesis of personalized therapeutics, which is especially relevant for rare diseases and precision oncology.</w:t>
      </w:r>
    </w:p>
    <w:p w14:paraId="1F0C9E78" w14:textId="77777777" w:rsidR="000C21AB" w:rsidRPr="000C21AB" w:rsidRDefault="000C21AB" w:rsidP="000C21AB">
      <w:pPr>
        <w:spacing w:before="120" w:after="120" w:line="240" w:lineRule="auto"/>
        <w:jc w:val="both"/>
        <w:rPr>
          <w:rFonts w:ascii="Times New Roman" w:hAnsi="Times New Roman" w:cs="Times New Roman"/>
          <w:sz w:val="20"/>
        </w:rPr>
      </w:pPr>
      <w:r w:rsidRPr="000C21AB">
        <w:rPr>
          <w:rFonts w:ascii="Times New Roman" w:hAnsi="Times New Roman" w:cs="Times New Roman"/>
          <w:sz w:val="20"/>
        </w:rPr>
        <w:t xml:space="preserve">Addressing </w:t>
      </w:r>
      <w:r w:rsidRPr="000C21AB">
        <w:rPr>
          <w:rFonts w:ascii="Times New Roman" w:hAnsi="Times New Roman" w:cs="Times New Roman"/>
          <w:b/>
          <w:bCs/>
          <w:sz w:val="20"/>
        </w:rPr>
        <w:t>immune tolerability</w:t>
      </w:r>
      <w:r w:rsidRPr="000C21AB">
        <w:rPr>
          <w:rFonts w:ascii="Times New Roman" w:hAnsi="Times New Roman" w:cs="Times New Roman"/>
          <w:sz w:val="20"/>
        </w:rPr>
        <w:t xml:space="preserve"> and enabling </w:t>
      </w:r>
      <w:r w:rsidRPr="000C21AB">
        <w:rPr>
          <w:rFonts w:ascii="Times New Roman" w:hAnsi="Times New Roman" w:cs="Times New Roman"/>
          <w:b/>
          <w:bCs/>
          <w:sz w:val="20"/>
        </w:rPr>
        <w:t>repeat-dose administration</w:t>
      </w:r>
      <w:r w:rsidRPr="000C21AB">
        <w:rPr>
          <w:rFonts w:ascii="Times New Roman" w:hAnsi="Times New Roman" w:cs="Times New Roman"/>
          <w:sz w:val="20"/>
        </w:rPr>
        <w:t xml:space="preserve"> remain central to broadening mRNA applications. Strategies such as nucleoside modifications (e.g., </w:t>
      </w:r>
      <w:proofErr w:type="spellStart"/>
      <w:r w:rsidRPr="000C21AB">
        <w:rPr>
          <w:rFonts w:ascii="Times New Roman" w:hAnsi="Times New Roman" w:cs="Times New Roman"/>
          <w:sz w:val="20"/>
        </w:rPr>
        <w:t>pseudouridine</w:t>
      </w:r>
      <w:proofErr w:type="spellEnd"/>
      <w:r w:rsidRPr="000C21AB">
        <w:rPr>
          <w:rFonts w:ascii="Times New Roman" w:hAnsi="Times New Roman" w:cs="Times New Roman"/>
          <w:sz w:val="20"/>
        </w:rPr>
        <w:t>, N1-methyl-pseudouridine), removal of double-stranded RNA contaminants, and inclusion of tolerogenic adjuvants are being pursued to minimize innate immune activation (</w:t>
      </w:r>
      <w:proofErr w:type="spellStart"/>
      <w:r w:rsidRPr="000C21AB">
        <w:rPr>
          <w:rFonts w:ascii="Times New Roman" w:hAnsi="Times New Roman" w:cs="Times New Roman"/>
          <w:sz w:val="20"/>
        </w:rPr>
        <w:t>Karikó</w:t>
      </w:r>
      <w:proofErr w:type="spellEnd"/>
      <w:r w:rsidRPr="000C21AB">
        <w:rPr>
          <w:rFonts w:ascii="Times New Roman" w:hAnsi="Times New Roman" w:cs="Times New Roman"/>
          <w:sz w:val="20"/>
        </w:rPr>
        <w:t xml:space="preserve"> et al., 2005; </w:t>
      </w:r>
      <w:proofErr w:type="spellStart"/>
      <w:r w:rsidRPr="000C21AB">
        <w:rPr>
          <w:rFonts w:ascii="Times New Roman" w:hAnsi="Times New Roman" w:cs="Times New Roman"/>
          <w:sz w:val="20"/>
        </w:rPr>
        <w:t>Pardi</w:t>
      </w:r>
      <w:proofErr w:type="spellEnd"/>
      <w:r w:rsidRPr="000C21AB">
        <w:rPr>
          <w:rFonts w:ascii="Times New Roman" w:hAnsi="Times New Roman" w:cs="Times New Roman"/>
          <w:sz w:val="20"/>
        </w:rPr>
        <w:t xml:space="preserve"> et al., 2018). These refinements are critical for chronic indications like enzyme replacement and autoimmune modulation.</w:t>
      </w:r>
    </w:p>
    <w:p w14:paraId="422828A0" w14:textId="77777777" w:rsidR="000C21AB" w:rsidRPr="000C21AB" w:rsidRDefault="000C21AB" w:rsidP="000C21AB">
      <w:pPr>
        <w:spacing w:before="120" w:after="120" w:line="240" w:lineRule="auto"/>
        <w:jc w:val="both"/>
        <w:rPr>
          <w:rFonts w:ascii="Times New Roman" w:hAnsi="Times New Roman" w:cs="Times New Roman"/>
          <w:sz w:val="20"/>
        </w:rPr>
      </w:pPr>
      <w:r w:rsidRPr="000C21AB">
        <w:rPr>
          <w:rFonts w:ascii="Times New Roman" w:hAnsi="Times New Roman" w:cs="Times New Roman"/>
          <w:sz w:val="20"/>
        </w:rPr>
        <w:t xml:space="preserve">Ultimately, the convergence of synthetic biology, computational </w:t>
      </w:r>
      <w:proofErr w:type="spellStart"/>
      <w:r w:rsidRPr="000C21AB">
        <w:rPr>
          <w:rFonts w:ascii="Times New Roman" w:hAnsi="Times New Roman" w:cs="Times New Roman"/>
          <w:sz w:val="20"/>
        </w:rPr>
        <w:t>modeling</w:t>
      </w:r>
      <w:proofErr w:type="spellEnd"/>
      <w:r w:rsidRPr="000C21AB">
        <w:rPr>
          <w:rFonts w:ascii="Times New Roman" w:hAnsi="Times New Roman" w:cs="Times New Roman"/>
          <w:sz w:val="20"/>
        </w:rPr>
        <w:t>, and precision delivery is positioning mRNA therapeutics as a central pillar of next-generation medicine. The ongoing evolution of delivery systems, molecular formats, and regulatory pathways will determine how broadly these technologies can be deployed across global healthcare settings.</w:t>
      </w:r>
    </w:p>
    <w:p w14:paraId="1F18B159" w14:textId="3C59A3CF" w:rsidR="000C21AB" w:rsidRPr="000C21AB" w:rsidRDefault="000C21AB" w:rsidP="000C21AB">
      <w:pPr>
        <w:pStyle w:val="NormalWeb"/>
        <w:numPr>
          <w:ilvl w:val="0"/>
          <w:numId w:val="27"/>
        </w:numPr>
        <w:shd w:val="clear" w:color="auto" w:fill="FFFFFF"/>
        <w:spacing w:before="120" w:beforeAutospacing="0" w:after="120" w:afterAutospacing="0"/>
        <w:ind w:left="274" w:hanging="274"/>
        <w:jc w:val="both"/>
        <w:rPr>
          <w:b/>
          <w:bCs/>
          <w:color w:val="000000"/>
          <w:sz w:val="22"/>
          <w:szCs w:val="22"/>
        </w:rPr>
      </w:pPr>
      <w:r w:rsidRPr="000C21AB">
        <w:rPr>
          <w:b/>
          <w:bCs/>
          <w:color w:val="000000"/>
          <w:sz w:val="22"/>
          <w:szCs w:val="22"/>
        </w:rPr>
        <w:t>CONCLUSION</w:t>
      </w:r>
    </w:p>
    <w:p w14:paraId="19AB6376" w14:textId="11585EC1" w:rsidR="000C21AB" w:rsidRPr="000C21AB" w:rsidRDefault="000C21AB" w:rsidP="000C21AB">
      <w:pPr>
        <w:spacing w:before="120" w:after="120" w:line="240" w:lineRule="auto"/>
        <w:jc w:val="both"/>
        <w:rPr>
          <w:rFonts w:ascii="Times New Roman" w:hAnsi="Times New Roman" w:cs="Times New Roman"/>
          <w:sz w:val="20"/>
        </w:rPr>
      </w:pPr>
      <w:r w:rsidRPr="000C21AB">
        <w:rPr>
          <w:rFonts w:ascii="Times New Roman" w:hAnsi="Times New Roman" w:cs="Times New Roman"/>
          <w:sz w:val="20"/>
        </w:rPr>
        <w:t>mRNA therapeutics are evolving from vaccine platforms into multifaceted tools for treating cancer, rare genetic disorders, cardiovascular diseases, and regenerative conditions. The flexibility of this technology allows for rapid customization, paving the way for a future of on-demand biologics and individualized care.</w:t>
      </w:r>
    </w:p>
    <w:p w14:paraId="09170274" w14:textId="040F79E1" w:rsidR="000C21AB" w:rsidRPr="000C21AB" w:rsidRDefault="000C21AB" w:rsidP="000C21AB">
      <w:pPr>
        <w:tabs>
          <w:tab w:val="left" w:pos="195"/>
        </w:tabs>
        <w:spacing w:before="120" w:after="120" w:line="240" w:lineRule="auto"/>
        <w:jc w:val="both"/>
        <w:rPr>
          <w:rFonts w:ascii="Times New Roman" w:hAnsi="Times New Roman" w:cs="Times New Roman"/>
          <w:b/>
          <w:bCs/>
          <w:sz w:val="16"/>
        </w:rPr>
      </w:pPr>
      <w:r w:rsidRPr="000C21AB">
        <w:rPr>
          <w:rFonts w:ascii="Times New Roman" w:hAnsi="Times New Roman" w:cs="Times New Roman"/>
          <w:sz w:val="20"/>
        </w:rPr>
        <w:t>With supportive regulatory frameworks, advances in delivery and manufacturing, and growing public-private partnerships, mRNA medicines are poised to become a cornerstone of 21st-century medicine. Continued investment in safety optimization, cost reduction, and global access will determine the pace and scope of their integration into mainstream healthcare.</w:t>
      </w:r>
    </w:p>
    <w:p w14:paraId="7D272DA3" w14:textId="55EE0AB9" w:rsidR="00F45C76" w:rsidRPr="00DE5679" w:rsidRDefault="00F45C76" w:rsidP="000C21AB">
      <w:pPr>
        <w:pStyle w:val="NormalWeb"/>
        <w:shd w:val="clear" w:color="auto" w:fill="FFFFFF"/>
        <w:tabs>
          <w:tab w:val="left" w:pos="240"/>
          <w:tab w:val="center" w:pos="4513"/>
        </w:tabs>
        <w:spacing w:before="120" w:beforeAutospacing="0" w:after="120" w:afterAutospacing="0"/>
        <w:jc w:val="center"/>
        <w:rPr>
          <w:b/>
          <w:bCs/>
          <w:color w:val="000000"/>
          <w:sz w:val="22"/>
          <w:szCs w:val="22"/>
        </w:rPr>
      </w:pPr>
      <w:r w:rsidRPr="00DE5679">
        <w:rPr>
          <w:b/>
          <w:bCs/>
          <w:color w:val="000000"/>
          <w:sz w:val="22"/>
          <w:szCs w:val="22"/>
        </w:rPr>
        <w:t>REFERENCES</w:t>
      </w:r>
    </w:p>
    <w:p w14:paraId="53AF9E24" w14:textId="77777777"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proofErr w:type="spellStart"/>
      <w:r w:rsidRPr="000C21AB">
        <w:rPr>
          <w:rFonts w:ascii="Times New Roman" w:hAnsi="Times New Roman" w:cs="Times New Roman"/>
          <w:sz w:val="20"/>
          <w:lang w:eastAsia="en-IN"/>
        </w:rPr>
        <w:t>Pardi</w:t>
      </w:r>
      <w:proofErr w:type="spellEnd"/>
      <w:r w:rsidRPr="000C21AB">
        <w:rPr>
          <w:rFonts w:ascii="Times New Roman" w:hAnsi="Times New Roman" w:cs="Times New Roman"/>
          <w:sz w:val="20"/>
          <w:lang w:eastAsia="en-IN"/>
        </w:rPr>
        <w:t>, N., Hogan, M. J., Porter, F. W., &amp; Weissman, D. (2018). mRNA vaccines — a new era in vaccinology. Nature Reviews Drug Discovery, 17(4), 261–279.</w:t>
      </w:r>
    </w:p>
    <w:p w14:paraId="1352A9F1" w14:textId="77777777"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proofErr w:type="spellStart"/>
      <w:r w:rsidRPr="000C21AB">
        <w:rPr>
          <w:rFonts w:ascii="Times New Roman" w:hAnsi="Times New Roman" w:cs="Times New Roman"/>
          <w:sz w:val="20"/>
          <w:lang w:eastAsia="en-IN"/>
        </w:rPr>
        <w:t>Sahin</w:t>
      </w:r>
      <w:proofErr w:type="spellEnd"/>
      <w:r w:rsidRPr="000C21AB">
        <w:rPr>
          <w:rFonts w:ascii="Times New Roman" w:hAnsi="Times New Roman" w:cs="Times New Roman"/>
          <w:sz w:val="20"/>
          <w:lang w:eastAsia="en-IN"/>
        </w:rPr>
        <w:t xml:space="preserve">, U., </w:t>
      </w:r>
      <w:proofErr w:type="spellStart"/>
      <w:r w:rsidRPr="000C21AB">
        <w:rPr>
          <w:rFonts w:ascii="Times New Roman" w:hAnsi="Times New Roman" w:cs="Times New Roman"/>
          <w:sz w:val="20"/>
          <w:lang w:eastAsia="en-IN"/>
        </w:rPr>
        <w:t>Karikó</w:t>
      </w:r>
      <w:proofErr w:type="spellEnd"/>
      <w:r w:rsidRPr="000C21AB">
        <w:rPr>
          <w:rFonts w:ascii="Times New Roman" w:hAnsi="Times New Roman" w:cs="Times New Roman"/>
          <w:sz w:val="20"/>
          <w:lang w:eastAsia="en-IN"/>
        </w:rPr>
        <w:t xml:space="preserve">, K., &amp; </w:t>
      </w:r>
      <w:proofErr w:type="spellStart"/>
      <w:r w:rsidRPr="000C21AB">
        <w:rPr>
          <w:rFonts w:ascii="Times New Roman" w:hAnsi="Times New Roman" w:cs="Times New Roman"/>
          <w:sz w:val="20"/>
          <w:lang w:eastAsia="en-IN"/>
        </w:rPr>
        <w:t>Türeci</w:t>
      </w:r>
      <w:proofErr w:type="spellEnd"/>
      <w:r w:rsidRPr="000C21AB">
        <w:rPr>
          <w:rFonts w:ascii="Times New Roman" w:hAnsi="Times New Roman" w:cs="Times New Roman"/>
          <w:sz w:val="20"/>
          <w:lang w:eastAsia="en-IN"/>
        </w:rPr>
        <w:t>, Ö. (2014). mRNA-based therapeutics — developing a new class of drugs. Nature Reviews Drug Discovery, 13(10), 759–770.</w:t>
      </w:r>
    </w:p>
    <w:p w14:paraId="654E3460" w14:textId="77777777"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proofErr w:type="spellStart"/>
      <w:r w:rsidRPr="000C21AB">
        <w:rPr>
          <w:rFonts w:ascii="Times New Roman" w:hAnsi="Times New Roman" w:cs="Times New Roman"/>
          <w:sz w:val="20"/>
          <w:lang w:eastAsia="en-IN"/>
        </w:rPr>
        <w:t>Karikó</w:t>
      </w:r>
      <w:proofErr w:type="spellEnd"/>
      <w:r w:rsidRPr="000C21AB">
        <w:rPr>
          <w:rFonts w:ascii="Times New Roman" w:hAnsi="Times New Roman" w:cs="Times New Roman"/>
          <w:sz w:val="20"/>
          <w:lang w:eastAsia="en-IN"/>
        </w:rPr>
        <w:t>, K., Buckstein, M., Ni, H., &amp; Weissman, D. (2005). Suppression of RNA recognition by Toll-like receptors: the impact of nucleoside modification. Immunity, 23(2), 165–175.</w:t>
      </w:r>
    </w:p>
    <w:p w14:paraId="043C3F10" w14:textId="77777777"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r w:rsidRPr="000C21AB">
        <w:rPr>
          <w:rFonts w:ascii="Times New Roman" w:hAnsi="Times New Roman" w:cs="Times New Roman"/>
          <w:sz w:val="20"/>
          <w:lang w:eastAsia="en-IN"/>
        </w:rPr>
        <w:t xml:space="preserve">Hou, X., </w:t>
      </w:r>
      <w:proofErr w:type="spellStart"/>
      <w:r w:rsidRPr="000C21AB">
        <w:rPr>
          <w:rFonts w:ascii="Times New Roman" w:hAnsi="Times New Roman" w:cs="Times New Roman"/>
          <w:sz w:val="20"/>
          <w:lang w:eastAsia="en-IN"/>
        </w:rPr>
        <w:t>Zaks</w:t>
      </w:r>
      <w:proofErr w:type="spellEnd"/>
      <w:r w:rsidRPr="000C21AB">
        <w:rPr>
          <w:rFonts w:ascii="Times New Roman" w:hAnsi="Times New Roman" w:cs="Times New Roman"/>
          <w:sz w:val="20"/>
          <w:lang w:eastAsia="en-IN"/>
        </w:rPr>
        <w:t>, T., Langer, R., &amp; Dong, Y. (2021). Lipid nanoparticles for mRNA delivery. Nature Reviews Materials, 6(12), 1078–1094.</w:t>
      </w:r>
    </w:p>
    <w:p w14:paraId="164C09C7" w14:textId="77777777"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proofErr w:type="spellStart"/>
      <w:r w:rsidRPr="000C21AB">
        <w:rPr>
          <w:rFonts w:ascii="Times New Roman" w:hAnsi="Times New Roman" w:cs="Times New Roman"/>
          <w:sz w:val="20"/>
          <w:lang w:eastAsia="en-IN"/>
        </w:rPr>
        <w:t>Zangi</w:t>
      </w:r>
      <w:proofErr w:type="spellEnd"/>
      <w:r w:rsidRPr="000C21AB">
        <w:rPr>
          <w:rFonts w:ascii="Times New Roman" w:hAnsi="Times New Roman" w:cs="Times New Roman"/>
          <w:sz w:val="20"/>
          <w:lang w:eastAsia="en-IN"/>
        </w:rPr>
        <w:t>, L., et al. (2013). Modified mRNA directs the fate of heart progenitor cells and induces vascular regeneration. Nature Biotechnology, 31(10), 898–907.</w:t>
      </w:r>
    </w:p>
    <w:p w14:paraId="7E1FDD46" w14:textId="77777777"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r w:rsidRPr="000C21AB">
        <w:rPr>
          <w:rFonts w:ascii="Times New Roman" w:hAnsi="Times New Roman" w:cs="Times New Roman"/>
          <w:sz w:val="20"/>
          <w:lang w:eastAsia="en-IN"/>
        </w:rPr>
        <w:t>Kuhn, C., et al. (2021). BMP-2 mRNA delivery for bone regeneration. Tissue Engineering Part A, 27(3-4), 234–244.</w:t>
      </w:r>
    </w:p>
    <w:p w14:paraId="2778B94C" w14:textId="77777777"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r w:rsidRPr="000C21AB">
        <w:rPr>
          <w:rFonts w:ascii="Times New Roman" w:hAnsi="Times New Roman" w:cs="Times New Roman"/>
          <w:sz w:val="20"/>
          <w:lang w:eastAsia="en-IN"/>
        </w:rPr>
        <w:t>Cheng, X., et al. (2022). Therapeutic mRNA for cutaneous wound healing. Molecular Therapy, 30(1), 219–230.</w:t>
      </w:r>
    </w:p>
    <w:p w14:paraId="5D695D9E" w14:textId="77777777"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r w:rsidRPr="000C21AB">
        <w:rPr>
          <w:rFonts w:ascii="Times New Roman" w:hAnsi="Times New Roman" w:cs="Times New Roman"/>
          <w:sz w:val="20"/>
          <w:lang w:eastAsia="en-IN"/>
        </w:rPr>
        <w:t xml:space="preserve">Islam, M. A., </w:t>
      </w:r>
      <w:proofErr w:type="spellStart"/>
      <w:r w:rsidRPr="000C21AB">
        <w:rPr>
          <w:rFonts w:ascii="Times New Roman" w:hAnsi="Times New Roman" w:cs="Times New Roman"/>
          <w:sz w:val="20"/>
          <w:lang w:eastAsia="en-IN"/>
        </w:rPr>
        <w:t>Reesor</w:t>
      </w:r>
      <w:proofErr w:type="spellEnd"/>
      <w:r w:rsidRPr="000C21AB">
        <w:rPr>
          <w:rFonts w:ascii="Times New Roman" w:hAnsi="Times New Roman" w:cs="Times New Roman"/>
          <w:sz w:val="20"/>
          <w:lang w:eastAsia="en-IN"/>
        </w:rPr>
        <w:t xml:space="preserve">, E. K. G., Xu, Y., </w:t>
      </w:r>
      <w:proofErr w:type="spellStart"/>
      <w:r w:rsidRPr="000C21AB">
        <w:rPr>
          <w:rFonts w:ascii="Times New Roman" w:hAnsi="Times New Roman" w:cs="Times New Roman"/>
          <w:sz w:val="20"/>
          <w:lang w:eastAsia="en-IN"/>
        </w:rPr>
        <w:t>Zope</w:t>
      </w:r>
      <w:proofErr w:type="spellEnd"/>
      <w:r w:rsidRPr="000C21AB">
        <w:rPr>
          <w:rFonts w:ascii="Times New Roman" w:hAnsi="Times New Roman" w:cs="Times New Roman"/>
          <w:sz w:val="20"/>
          <w:lang w:eastAsia="en-IN"/>
        </w:rPr>
        <w:t xml:space="preserve">, H. R., &amp; </w:t>
      </w:r>
      <w:proofErr w:type="spellStart"/>
      <w:r w:rsidRPr="000C21AB">
        <w:rPr>
          <w:rFonts w:ascii="Times New Roman" w:hAnsi="Times New Roman" w:cs="Times New Roman"/>
          <w:sz w:val="20"/>
          <w:lang w:eastAsia="en-IN"/>
        </w:rPr>
        <w:t>Zetter</w:t>
      </w:r>
      <w:proofErr w:type="spellEnd"/>
      <w:r w:rsidRPr="000C21AB">
        <w:rPr>
          <w:rFonts w:ascii="Times New Roman" w:hAnsi="Times New Roman" w:cs="Times New Roman"/>
          <w:sz w:val="20"/>
          <w:lang w:eastAsia="en-IN"/>
        </w:rPr>
        <w:t>, B. R. (2021). Biomaterials for mRNA delivery. Nature Reviews Materials, 6(5), 401–416.</w:t>
      </w:r>
    </w:p>
    <w:p w14:paraId="2E395B67" w14:textId="77777777"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r w:rsidRPr="000C21AB">
        <w:rPr>
          <w:rFonts w:ascii="Times New Roman" w:hAnsi="Times New Roman" w:cs="Times New Roman"/>
          <w:sz w:val="20"/>
          <w:lang w:eastAsia="en-IN"/>
        </w:rPr>
        <w:lastRenderedPageBreak/>
        <w:t xml:space="preserve">Verbeke, R., </w:t>
      </w:r>
      <w:proofErr w:type="spellStart"/>
      <w:r w:rsidRPr="000C21AB">
        <w:rPr>
          <w:rFonts w:ascii="Times New Roman" w:hAnsi="Times New Roman" w:cs="Times New Roman"/>
          <w:sz w:val="20"/>
          <w:lang w:eastAsia="en-IN"/>
        </w:rPr>
        <w:t>Lentacker</w:t>
      </w:r>
      <w:proofErr w:type="spellEnd"/>
      <w:r w:rsidRPr="000C21AB">
        <w:rPr>
          <w:rFonts w:ascii="Times New Roman" w:hAnsi="Times New Roman" w:cs="Times New Roman"/>
          <w:sz w:val="20"/>
          <w:lang w:eastAsia="en-IN"/>
        </w:rPr>
        <w:t xml:space="preserve">, I., De </w:t>
      </w:r>
      <w:proofErr w:type="spellStart"/>
      <w:r w:rsidRPr="000C21AB">
        <w:rPr>
          <w:rFonts w:ascii="Times New Roman" w:hAnsi="Times New Roman" w:cs="Times New Roman"/>
          <w:sz w:val="20"/>
          <w:lang w:eastAsia="en-IN"/>
        </w:rPr>
        <w:t>Smedt</w:t>
      </w:r>
      <w:proofErr w:type="spellEnd"/>
      <w:r w:rsidRPr="000C21AB">
        <w:rPr>
          <w:rFonts w:ascii="Times New Roman" w:hAnsi="Times New Roman" w:cs="Times New Roman"/>
          <w:sz w:val="20"/>
          <w:lang w:eastAsia="en-IN"/>
        </w:rPr>
        <w:t xml:space="preserve">, S. C., &amp; </w:t>
      </w:r>
      <w:proofErr w:type="spellStart"/>
      <w:r w:rsidRPr="000C21AB">
        <w:rPr>
          <w:rFonts w:ascii="Times New Roman" w:hAnsi="Times New Roman" w:cs="Times New Roman"/>
          <w:sz w:val="20"/>
          <w:lang w:eastAsia="en-IN"/>
        </w:rPr>
        <w:t>Dewitte</w:t>
      </w:r>
      <w:proofErr w:type="spellEnd"/>
      <w:r w:rsidRPr="000C21AB">
        <w:rPr>
          <w:rFonts w:ascii="Times New Roman" w:hAnsi="Times New Roman" w:cs="Times New Roman"/>
          <w:sz w:val="20"/>
          <w:lang w:eastAsia="en-IN"/>
        </w:rPr>
        <w:t>, H. (2021). The dawn of mRNA vaccines: The development of the first COVID-19 vaccines. Nanomedicine, 16(2), 121–138.</w:t>
      </w:r>
    </w:p>
    <w:p w14:paraId="6974528F" w14:textId="76DE295C"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pacing w:val="-6"/>
          <w:sz w:val="20"/>
          <w:lang w:eastAsia="en-IN"/>
        </w:rPr>
      </w:pPr>
      <w:proofErr w:type="spellStart"/>
      <w:r w:rsidRPr="000C21AB">
        <w:rPr>
          <w:rFonts w:ascii="Times New Roman" w:hAnsi="Times New Roman" w:cs="Times New Roman"/>
          <w:sz w:val="20"/>
          <w:lang w:eastAsia="en-IN"/>
        </w:rPr>
        <w:t>Kamerkar</w:t>
      </w:r>
      <w:proofErr w:type="spellEnd"/>
      <w:r w:rsidRPr="000C21AB">
        <w:rPr>
          <w:rFonts w:ascii="Times New Roman" w:hAnsi="Times New Roman" w:cs="Times New Roman"/>
          <w:sz w:val="20"/>
          <w:lang w:eastAsia="en-IN"/>
        </w:rPr>
        <w:t xml:space="preserve">, S., </w:t>
      </w:r>
      <w:proofErr w:type="spellStart"/>
      <w:r w:rsidRPr="000C21AB">
        <w:rPr>
          <w:rFonts w:ascii="Times New Roman" w:hAnsi="Times New Roman" w:cs="Times New Roman"/>
          <w:sz w:val="20"/>
          <w:lang w:eastAsia="en-IN"/>
        </w:rPr>
        <w:t>LeBleu</w:t>
      </w:r>
      <w:proofErr w:type="spellEnd"/>
      <w:r w:rsidRPr="000C21AB">
        <w:rPr>
          <w:rFonts w:ascii="Times New Roman" w:hAnsi="Times New Roman" w:cs="Times New Roman"/>
          <w:sz w:val="20"/>
          <w:lang w:eastAsia="en-IN"/>
        </w:rPr>
        <w:t xml:space="preserve">, V. S., Sugimoto, H., Yang, S., </w:t>
      </w:r>
      <w:proofErr w:type="spellStart"/>
      <w:r w:rsidRPr="000C21AB">
        <w:rPr>
          <w:rFonts w:ascii="Times New Roman" w:hAnsi="Times New Roman" w:cs="Times New Roman"/>
          <w:sz w:val="20"/>
          <w:lang w:eastAsia="en-IN"/>
        </w:rPr>
        <w:t>Ruivo</w:t>
      </w:r>
      <w:proofErr w:type="spellEnd"/>
      <w:r w:rsidRPr="000C21AB">
        <w:rPr>
          <w:rFonts w:ascii="Times New Roman" w:hAnsi="Times New Roman" w:cs="Times New Roman"/>
          <w:sz w:val="20"/>
          <w:lang w:eastAsia="en-IN"/>
        </w:rPr>
        <w:t xml:space="preserve">, C. F., Melo, S. A. ... &amp; </w:t>
      </w:r>
      <w:proofErr w:type="spellStart"/>
      <w:r w:rsidRPr="000C21AB">
        <w:rPr>
          <w:rFonts w:ascii="Times New Roman" w:hAnsi="Times New Roman" w:cs="Times New Roman"/>
          <w:sz w:val="20"/>
          <w:lang w:eastAsia="en-IN"/>
        </w:rPr>
        <w:t>Kalluri</w:t>
      </w:r>
      <w:proofErr w:type="spellEnd"/>
      <w:r w:rsidRPr="000C21AB">
        <w:rPr>
          <w:rFonts w:ascii="Times New Roman" w:hAnsi="Times New Roman" w:cs="Times New Roman"/>
          <w:sz w:val="20"/>
          <w:lang w:eastAsia="en-IN"/>
        </w:rPr>
        <w:t xml:space="preserve">, R. (2017). Exosomes facilitate therapeutic targeting </w:t>
      </w:r>
      <w:r w:rsidRPr="000C21AB">
        <w:rPr>
          <w:rFonts w:ascii="Times New Roman" w:hAnsi="Times New Roman" w:cs="Times New Roman"/>
          <w:spacing w:val="-6"/>
          <w:sz w:val="20"/>
          <w:lang w:eastAsia="en-IN"/>
        </w:rPr>
        <w:t>of oncogenic KRAS in pancreatic cancer. Nature, 546(7659), 498–503.</w:t>
      </w:r>
    </w:p>
    <w:p w14:paraId="2E90377B" w14:textId="77777777"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proofErr w:type="spellStart"/>
      <w:r w:rsidRPr="000C21AB">
        <w:rPr>
          <w:rFonts w:ascii="Times New Roman" w:hAnsi="Times New Roman" w:cs="Times New Roman"/>
          <w:sz w:val="20"/>
          <w:lang w:eastAsia="en-IN"/>
        </w:rPr>
        <w:t>Sahin</w:t>
      </w:r>
      <w:proofErr w:type="spellEnd"/>
      <w:r w:rsidRPr="000C21AB">
        <w:rPr>
          <w:rFonts w:ascii="Times New Roman" w:hAnsi="Times New Roman" w:cs="Times New Roman"/>
          <w:sz w:val="20"/>
          <w:lang w:eastAsia="en-IN"/>
        </w:rPr>
        <w:t xml:space="preserve">, U., </w:t>
      </w:r>
      <w:proofErr w:type="spellStart"/>
      <w:r w:rsidRPr="000C21AB">
        <w:rPr>
          <w:rFonts w:ascii="Times New Roman" w:hAnsi="Times New Roman" w:cs="Times New Roman"/>
          <w:sz w:val="20"/>
          <w:lang w:eastAsia="en-IN"/>
        </w:rPr>
        <w:t>Derhovanessian</w:t>
      </w:r>
      <w:proofErr w:type="spellEnd"/>
      <w:r w:rsidRPr="000C21AB">
        <w:rPr>
          <w:rFonts w:ascii="Times New Roman" w:hAnsi="Times New Roman" w:cs="Times New Roman"/>
          <w:sz w:val="20"/>
          <w:lang w:eastAsia="en-IN"/>
        </w:rPr>
        <w:t xml:space="preserve">, E., et al. (2017). Personalized RNA </w:t>
      </w:r>
      <w:proofErr w:type="spellStart"/>
      <w:r w:rsidRPr="000C21AB">
        <w:rPr>
          <w:rFonts w:ascii="Times New Roman" w:hAnsi="Times New Roman" w:cs="Times New Roman"/>
          <w:sz w:val="20"/>
          <w:lang w:eastAsia="en-IN"/>
        </w:rPr>
        <w:t>mutanome</w:t>
      </w:r>
      <w:proofErr w:type="spellEnd"/>
      <w:r w:rsidRPr="000C21AB">
        <w:rPr>
          <w:rFonts w:ascii="Times New Roman" w:hAnsi="Times New Roman" w:cs="Times New Roman"/>
          <w:sz w:val="20"/>
          <w:lang w:eastAsia="en-IN"/>
        </w:rPr>
        <w:t xml:space="preserve"> vaccines mobilize poly-specific therapeutic immunity against cancer. Nature, 547(7662), 222–226.</w:t>
      </w:r>
    </w:p>
    <w:p w14:paraId="6DAD2300" w14:textId="77777777"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r w:rsidRPr="000C21AB">
        <w:rPr>
          <w:rFonts w:ascii="Times New Roman" w:hAnsi="Times New Roman" w:cs="Times New Roman"/>
          <w:sz w:val="20"/>
          <w:lang w:eastAsia="en-IN"/>
        </w:rPr>
        <w:t xml:space="preserve">Kranz, L. M., </w:t>
      </w:r>
      <w:proofErr w:type="spellStart"/>
      <w:r w:rsidRPr="000C21AB">
        <w:rPr>
          <w:rFonts w:ascii="Times New Roman" w:hAnsi="Times New Roman" w:cs="Times New Roman"/>
          <w:sz w:val="20"/>
          <w:lang w:eastAsia="en-IN"/>
        </w:rPr>
        <w:t>Diken</w:t>
      </w:r>
      <w:proofErr w:type="spellEnd"/>
      <w:r w:rsidRPr="000C21AB">
        <w:rPr>
          <w:rFonts w:ascii="Times New Roman" w:hAnsi="Times New Roman" w:cs="Times New Roman"/>
          <w:sz w:val="20"/>
          <w:lang w:eastAsia="en-IN"/>
        </w:rPr>
        <w:t>, M., et al. (2016). Systemic RNA delivery to dendritic cells exploits antiviral defence for cancer immunotherapy. Nature, 534(7607), 396–401.</w:t>
      </w:r>
    </w:p>
    <w:p w14:paraId="2624B57B" w14:textId="77777777"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proofErr w:type="spellStart"/>
      <w:r w:rsidRPr="000C21AB">
        <w:rPr>
          <w:rFonts w:ascii="Times New Roman" w:hAnsi="Times New Roman" w:cs="Times New Roman"/>
          <w:sz w:val="20"/>
          <w:lang w:eastAsia="en-IN"/>
        </w:rPr>
        <w:t>Maghzi</w:t>
      </w:r>
      <w:proofErr w:type="spellEnd"/>
      <w:r w:rsidRPr="000C21AB">
        <w:rPr>
          <w:rFonts w:ascii="Times New Roman" w:hAnsi="Times New Roman" w:cs="Times New Roman"/>
          <w:sz w:val="20"/>
          <w:lang w:eastAsia="en-IN"/>
        </w:rPr>
        <w:t>, A. H., et al. (2020). Preclinical evaluation of mRNA-based therapies for cystic fibrosis. Molecular Therapy — Nucleic Acids, 21, 485–493.</w:t>
      </w:r>
    </w:p>
    <w:p w14:paraId="6952FA89" w14:textId="77777777"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r w:rsidRPr="000C21AB">
        <w:rPr>
          <w:rFonts w:ascii="Times New Roman" w:hAnsi="Times New Roman" w:cs="Times New Roman"/>
          <w:sz w:val="20"/>
          <w:lang w:eastAsia="en-IN"/>
        </w:rPr>
        <w:t>Zhao, X., et al. (2021). mRNA therapy for phenylketonuria. Science Translational Medicine, 13(615), eaba7581.</w:t>
      </w:r>
    </w:p>
    <w:p w14:paraId="2F624538" w14:textId="77777777"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r w:rsidRPr="000C21AB">
        <w:rPr>
          <w:rFonts w:ascii="Times New Roman" w:hAnsi="Times New Roman" w:cs="Times New Roman"/>
          <w:sz w:val="20"/>
          <w:lang w:eastAsia="en-IN"/>
        </w:rPr>
        <w:t>Lee, M. J., et al. (2021). IGF-1 mRNA therapy for musculoskeletal regeneration. Tissue Engineering Part A, 27(17-18), 1070–1082.</w:t>
      </w:r>
    </w:p>
    <w:p w14:paraId="68063AF3" w14:textId="77777777"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proofErr w:type="spellStart"/>
      <w:r w:rsidRPr="000C21AB">
        <w:rPr>
          <w:rFonts w:ascii="Times New Roman" w:hAnsi="Times New Roman" w:cs="Times New Roman"/>
          <w:sz w:val="20"/>
          <w:lang w:eastAsia="en-IN"/>
        </w:rPr>
        <w:t>Krienke</w:t>
      </w:r>
      <w:proofErr w:type="spellEnd"/>
      <w:r w:rsidRPr="000C21AB">
        <w:rPr>
          <w:rFonts w:ascii="Times New Roman" w:hAnsi="Times New Roman" w:cs="Times New Roman"/>
          <w:sz w:val="20"/>
          <w:lang w:eastAsia="en-IN"/>
        </w:rPr>
        <w:t>, C., Kolb, L., et al. (2021). A noninflammatory mRNA vaccine for treatment of experimental autoimmune encephalomyelitis. Science, 371(6525), 145–153.</w:t>
      </w:r>
    </w:p>
    <w:p w14:paraId="521072AA" w14:textId="77777777"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r w:rsidRPr="000C21AB">
        <w:rPr>
          <w:rFonts w:ascii="Times New Roman" w:hAnsi="Times New Roman" w:cs="Times New Roman"/>
          <w:sz w:val="20"/>
          <w:lang w:eastAsia="en-IN"/>
        </w:rPr>
        <w:t>Ott, P. A., et al. (2020). An immunogenic personal neoantigen vaccine for patients with melanoma. Nature, 585(7823), 107–112.</w:t>
      </w:r>
    </w:p>
    <w:p w14:paraId="5C0BBD4C" w14:textId="77777777"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proofErr w:type="spellStart"/>
      <w:r w:rsidRPr="000C21AB">
        <w:rPr>
          <w:rFonts w:ascii="Times New Roman" w:hAnsi="Times New Roman" w:cs="Times New Roman"/>
          <w:sz w:val="20"/>
          <w:lang w:eastAsia="en-IN"/>
        </w:rPr>
        <w:t>Cafri</w:t>
      </w:r>
      <w:proofErr w:type="spellEnd"/>
      <w:r w:rsidRPr="000C21AB">
        <w:rPr>
          <w:rFonts w:ascii="Times New Roman" w:hAnsi="Times New Roman" w:cs="Times New Roman"/>
          <w:sz w:val="20"/>
          <w:lang w:eastAsia="en-IN"/>
        </w:rPr>
        <w:t>, G., et al. (2020). Memory T cell-derived neoantigen-targeting T cells for cancer immunotherapy. Nature, 580(7802), 468–472.</w:t>
      </w:r>
    </w:p>
    <w:p w14:paraId="4969E8C5" w14:textId="77777777" w:rsidR="000C21AB" w:rsidRPr="000C21AB" w:rsidRDefault="000C21AB" w:rsidP="000C21AB">
      <w:pPr>
        <w:pStyle w:val="ListParagraph"/>
        <w:numPr>
          <w:ilvl w:val="0"/>
          <w:numId w:val="39"/>
        </w:numPr>
        <w:spacing w:after="120" w:line="240" w:lineRule="auto"/>
        <w:ind w:left="446" w:hanging="446"/>
        <w:contextualSpacing w:val="0"/>
        <w:jc w:val="both"/>
        <w:rPr>
          <w:rFonts w:ascii="Times New Roman" w:hAnsi="Times New Roman" w:cs="Times New Roman"/>
          <w:sz w:val="20"/>
          <w:lang w:eastAsia="en-IN"/>
        </w:rPr>
      </w:pPr>
      <w:r w:rsidRPr="000C21AB">
        <w:rPr>
          <w:rFonts w:ascii="Times New Roman" w:hAnsi="Times New Roman" w:cs="Times New Roman"/>
          <w:sz w:val="20"/>
          <w:lang w:eastAsia="en-IN"/>
        </w:rPr>
        <w:t xml:space="preserve">Yanez </w:t>
      </w:r>
      <w:proofErr w:type="spellStart"/>
      <w:r w:rsidRPr="000C21AB">
        <w:rPr>
          <w:rFonts w:ascii="Times New Roman" w:hAnsi="Times New Roman" w:cs="Times New Roman"/>
          <w:sz w:val="20"/>
          <w:lang w:eastAsia="en-IN"/>
        </w:rPr>
        <w:t>Arteta</w:t>
      </w:r>
      <w:proofErr w:type="spellEnd"/>
      <w:r w:rsidRPr="000C21AB">
        <w:rPr>
          <w:rFonts w:ascii="Times New Roman" w:hAnsi="Times New Roman" w:cs="Times New Roman"/>
          <w:sz w:val="20"/>
          <w:lang w:eastAsia="en-IN"/>
        </w:rPr>
        <w:t>, M., et al. (2018). Successful in vivo delivery of mRNA using lipid nanoparticles. Nature Communications, 9(1), 2628.</w:t>
      </w:r>
    </w:p>
    <w:p w14:paraId="7F13B770" w14:textId="77777777" w:rsidR="000C21AB" w:rsidRPr="000C21AB" w:rsidRDefault="000C21AB" w:rsidP="000C21AB">
      <w:pPr>
        <w:pStyle w:val="ListParagraph"/>
        <w:numPr>
          <w:ilvl w:val="0"/>
          <w:numId w:val="39"/>
        </w:numPr>
        <w:spacing w:after="120" w:line="240" w:lineRule="auto"/>
        <w:ind w:left="446" w:hanging="446"/>
        <w:contextualSpacing w:val="0"/>
        <w:jc w:val="both"/>
        <w:rPr>
          <w:rFonts w:ascii="Times New Roman" w:hAnsi="Times New Roman" w:cs="Times New Roman"/>
          <w:sz w:val="20"/>
          <w:lang w:eastAsia="en-IN"/>
        </w:rPr>
      </w:pPr>
      <w:r w:rsidRPr="000C21AB">
        <w:rPr>
          <w:rFonts w:ascii="Times New Roman" w:hAnsi="Times New Roman" w:cs="Times New Roman"/>
          <w:sz w:val="20"/>
          <w:lang w:eastAsia="en-IN"/>
        </w:rPr>
        <w:t>Liu, J., et al. (2022). Liver-targeted mRNA therapy restores metabolic function in glycogen storage disease. Nature Metabolism, 4(3), 272–285.</w:t>
      </w:r>
    </w:p>
    <w:p w14:paraId="327136C7" w14:textId="77777777"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proofErr w:type="spellStart"/>
      <w:r w:rsidRPr="000C21AB">
        <w:rPr>
          <w:rFonts w:ascii="Times New Roman" w:hAnsi="Times New Roman" w:cs="Times New Roman"/>
          <w:sz w:val="20"/>
          <w:lang w:eastAsia="en-IN"/>
        </w:rPr>
        <w:t>Blakney</w:t>
      </w:r>
      <w:proofErr w:type="spellEnd"/>
      <w:r w:rsidRPr="000C21AB">
        <w:rPr>
          <w:rFonts w:ascii="Times New Roman" w:hAnsi="Times New Roman" w:cs="Times New Roman"/>
          <w:sz w:val="20"/>
          <w:lang w:eastAsia="en-IN"/>
        </w:rPr>
        <w:t xml:space="preserve">, A. K., McKay, P. F., &amp; </w:t>
      </w:r>
      <w:proofErr w:type="spellStart"/>
      <w:r w:rsidRPr="000C21AB">
        <w:rPr>
          <w:rFonts w:ascii="Times New Roman" w:hAnsi="Times New Roman" w:cs="Times New Roman"/>
          <w:sz w:val="20"/>
          <w:lang w:eastAsia="en-IN"/>
        </w:rPr>
        <w:t>Shattock</w:t>
      </w:r>
      <w:proofErr w:type="spellEnd"/>
      <w:r w:rsidRPr="000C21AB">
        <w:rPr>
          <w:rFonts w:ascii="Times New Roman" w:hAnsi="Times New Roman" w:cs="Times New Roman"/>
          <w:sz w:val="20"/>
          <w:lang w:eastAsia="en-IN"/>
        </w:rPr>
        <w:t>, R. J. (2021). mRNA therapeutics for infectious diseases and cancer. Advanced Drug Delivery Reviews, 170, 113–128.</w:t>
      </w:r>
    </w:p>
    <w:p w14:paraId="3C4F4A22" w14:textId="77777777"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r w:rsidRPr="000C21AB">
        <w:rPr>
          <w:rFonts w:ascii="Times New Roman" w:hAnsi="Times New Roman" w:cs="Times New Roman"/>
          <w:sz w:val="20"/>
          <w:lang w:eastAsia="en-IN"/>
        </w:rPr>
        <w:t>Carlsson, L., et al. (2018). Angiogenic gene therapy with synthetic mRNA encoding VEGF-A in myocardial ischemia. Circulation, 138(3), 285–288.</w:t>
      </w:r>
    </w:p>
    <w:p w14:paraId="48DBCC06" w14:textId="77777777"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r w:rsidRPr="000C21AB">
        <w:rPr>
          <w:rFonts w:ascii="Times New Roman" w:hAnsi="Times New Roman" w:cs="Times New Roman"/>
          <w:sz w:val="20"/>
          <w:lang w:eastAsia="en-IN"/>
        </w:rPr>
        <w:t>Zhang, T. Y., et al. (2021). Therapeutic mRNA vaccine against chronic hepatitis B. The Lancet Gastroenterology &amp; Hepatology, 6(10), 776–785.</w:t>
      </w:r>
    </w:p>
    <w:p w14:paraId="332EDB92" w14:textId="39346D8E"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r w:rsidRPr="000C21AB">
        <w:rPr>
          <w:rFonts w:ascii="Times New Roman" w:hAnsi="Times New Roman" w:cs="Times New Roman"/>
          <w:sz w:val="20"/>
          <w:lang w:eastAsia="en-IN"/>
        </w:rPr>
        <w:t xml:space="preserve">Vogel, A. B., Lambert, L., Kinnear, E., </w:t>
      </w:r>
      <w:proofErr w:type="spellStart"/>
      <w:r w:rsidRPr="000C21AB">
        <w:rPr>
          <w:rFonts w:ascii="Times New Roman" w:hAnsi="Times New Roman" w:cs="Times New Roman"/>
          <w:sz w:val="20"/>
          <w:lang w:eastAsia="en-IN"/>
        </w:rPr>
        <w:t>Busse</w:t>
      </w:r>
      <w:proofErr w:type="spellEnd"/>
      <w:r w:rsidRPr="000C21AB">
        <w:rPr>
          <w:rFonts w:ascii="Times New Roman" w:hAnsi="Times New Roman" w:cs="Times New Roman"/>
          <w:sz w:val="20"/>
          <w:lang w:eastAsia="en-IN"/>
        </w:rPr>
        <w:t xml:space="preserve">, D., </w:t>
      </w:r>
      <w:proofErr w:type="spellStart"/>
      <w:r w:rsidRPr="000C21AB">
        <w:rPr>
          <w:rFonts w:ascii="Times New Roman" w:hAnsi="Times New Roman" w:cs="Times New Roman"/>
          <w:sz w:val="20"/>
          <w:lang w:eastAsia="en-IN"/>
        </w:rPr>
        <w:t>Erbar</w:t>
      </w:r>
      <w:proofErr w:type="spellEnd"/>
      <w:r w:rsidRPr="000C21AB">
        <w:rPr>
          <w:rFonts w:ascii="Times New Roman" w:hAnsi="Times New Roman" w:cs="Times New Roman"/>
          <w:sz w:val="20"/>
          <w:lang w:eastAsia="en-IN"/>
        </w:rPr>
        <w:t xml:space="preserve">, S., Reuter, K. C. ... &amp; </w:t>
      </w:r>
      <w:proofErr w:type="spellStart"/>
      <w:r w:rsidRPr="000C21AB">
        <w:rPr>
          <w:rFonts w:ascii="Times New Roman" w:hAnsi="Times New Roman" w:cs="Times New Roman"/>
          <w:sz w:val="20"/>
          <w:lang w:eastAsia="en-IN"/>
        </w:rPr>
        <w:t>Sahin</w:t>
      </w:r>
      <w:proofErr w:type="spellEnd"/>
      <w:r w:rsidRPr="000C21AB">
        <w:rPr>
          <w:rFonts w:ascii="Times New Roman" w:hAnsi="Times New Roman" w:cs="Times New Roman"/>
          <w:sz w:val="20"/>
          <w:lang w:eastAsia="en-IN"/>
        </w:rPr>
        <w:t>, U. (2018). Self-amplifying RNA vaccines give equivalent protection against influenza to mRNA vaccines but at much lower doses. Molecular Therapy, 26(2), 446–455.</w:t>
      </w:r>
    </w:p>
    <w:p w14:paraId="27AA3E44" w14:textId="77777777"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r w:rsidRPr="000C21AB">
        <w:rPr>
          <w:rFonts w:ascii="Times New Roman" w:hAnsi="Times New Roman" w:cs="Times New Roman"/>
          <w:sz w:val="20"/>
          <w:lang w:eastAsia="en-IN"/>
        </w:rPr>
        <w:t xml:space="preserve"> </w:t>
      </w:r>
      <w:proofErr w:type="spellStart"/>
      <w:r w:rsidRPr="000C21AB">
        <w:rPr>
          <w:rFonts w:ascii="Times New Roman" w:hAnsi="Times New Roman" w:cs="Times New Roman"/>
          <w:sz w:val="20"/>
          <w:lang w:eastAsia="en-IN"/>
        </w:rPr>
        <w:t>Wesselhoeft</w:t>
      </w:r>
      <w:proofErr w:type="spellEnd"/>
      <w:r w:rsidRPr="000C21AB">
        <w:rPr>
          <w:rFonts w:ascii="Times New Roman" w:hAnsi="Times New Roman" w:cs="Times New Roman"/>
          <w:sz w:val="20"/>
          <w:lang w:eastAsia="en-IN"/>
        </w:rPr>
        <w:t>, R. A., Kowalski, P. S., &amp; Anderson, D. G. (2018). Engineering circular RNA for potent and stable translation in eukaryotic cells. Nature Communications, 9(1), 2629.</w:t>
      </w:r>
    </w:p>
    <w:p w14:paraId="49238275" w14:textId="77777777"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r w:rsidRPr="000C21AB">
        <w:rPr>
          <w:rFonts w:ascii="Times New Roman" w:hAnsi="Times New Roman" w:cs="Times New Roman"/>
          <w:sz w:val="20"/>
          <w:lang w:eastAsia="en-IN"/>
        </w:rPr>
        <w:t>Qu, L., Yi, Z., Zhu, S., Wang, C., Cao, Z., Zhou, Z., ... &amp; Yang, Y. G. (2023). Programmable and durable protein expression in vivo via circular mRNA encoding covalently closed peptides. Nature Biotechnology, 41(1), 75–85.</w:t>
      </w:r>
    </w:p>
    <w:p w14:paraId="72508E7A" w14:textId="77777777"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r w:rsidRPr="000C21AB">
        <w:rPr>
          <w:rFonts w:ascii="Times New Roman" w:hAnsi="Times New Roman" w:cs="Times New Roman"/>
          <w:sz w:val="20"/>
          <w:lang w:eastAsia="en-IN"/>
        </w:rPr>
        <w:t xml:space="preserve">Linder, J., </w:t>
      </w:r>
      <w:proofErr w:type="spellStart"/>
      <w:r w:rsidRPr="000C21AB">
        <w:rPr>
          <w:rFonts w:ascii="Times New Roman" w:hAnsi="Times New Roman" w:cs="Times New Roman"/>
          <w:sz w:val="20"/>
          <w:lang w:eastAsia="en-IN"/>
        </w:rPr>
        <w:t>Bogard</w:t>
      </w:r>
      <w:proofErr w:type="spellEnd"/>
      <w:r w:rsidRPr="000C21AB">
        <w:rPr>
          <w:rFonts w:ascii="Times New Roman" w:hAnsi="Times New Roman" w:cs="Times New Roman"/>
          <w:sz w:val="20"/>
          <w:lang w:eastAsia="en-IN"/>
        </w:rPr>
        <w:t>, N., Rosenberg, A. B., &amp; Seelig, G. (2022). Deep learning identifies and optimizes human 5′ UTR sequences for translation. Nature Biotechnology, 40(4), 485–495.</w:t>
      </w:r>
    </w:p>
    <w:p w14:paraId="1776E592" w14:textId="37F30D3B"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r w:rsidRPr="000C21AB">
        <w:rPr>
          <w:rFonts w:ascii="Times New Roman" w:hAnsi="Times New Roman" w:cs="Times New Roman"/>
          <w:sz w:val="20"/>
          <w:lang w:eastAsia="en-IN"/>
        </w:rPr>
        <w:t xml:space="preserve">Yin, H., Song, C. Q., </w:t>
      </w:r>
      <w:proofErr w:type="spellStart"/>
      <w:r w:rsidRPr="000C21AB">
        <w:rPr>
          <w:rFonts w:ascii="Times New Roman" w:hAnsi="Times New Roman" w:cs="Times New Roman"/>
          <w:sz w:val="20"/>
          <w:lang w:eastAsia="en-IN"/>
        </w:rPr>
        <w:t>Dorkin</w:t>
      </w:r>
      <w:proofErr w:type="spellEnd"/>
      <w:r w:rsidRPr="000C21AB">
        <w:rPr>
          <w:rFonts w:ascii="Times New Roman" w:hAnsi="Times New Roman" w:cs="Times New Roman"/>
          <w:sz w:val="20"/>
          <w:lang w:eastAsia="en-IN"/>
        </w:rPr>
        <w:t>, J. R., Zhu, L. J., Li, Y., Wu, Q. ... &amp; Anderson, D. G. (2016). Therapeutic genome editing by combined viral and non-viral delivery of CRISPR system components in vivo. Nature Biotechnology, 34(3), 328–333.</w:t>
      </w:r>
    </w:p>
    <w:p w14:paraId="4751C045" w14:textId="77777777"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proofErr w:type="spellStart"/>
      <w:r w:rsidRPr="000C21AB">
        <w:rPr>
          <w:rFonts w:ascii="Times New Roman" w:hAnsi="Times New Roman" w:cs="Times New Roman"/>
          <w:sz w:val="20"/>
          <w:lang w:eastAsia="en-IN"/>
        </w:rPr>
        <w:t>Zangi</w:t>
      </w:r>
      <w:proofErr w:type="spellEnd"/>
      <w:r w:rsidRPr="000C21AB">
        <w:rPr>
          <w:rFonts w:ascii="Times New Roman" w:hAnsi="Times New Roman" w:cs="Times New Roman"/>
          <w:sz w:val="20"/>
          <w:lang w:eastAsia="en-IN"/>
        </w:rPr>
        <w:t xml:space="preserve">, L., Lui, K. O., von </w:t>
      </w:r>
      <w:proofErr w:type="spellStart"/>
      <w:r w:rsidRPr="000C21AB">
        <w:rPr>
          <w:rFonts w:ascii="Times New Roman" w:hAnsi="Times New Roman" w:cs="Times New Roman"/>
          <w:sz w:val="20"/>
          <w:lang w:eastAsia="en-IN"/>
        </w:rPr>
        <w:t>Gise</w:t>
      </w:r>
      <w:proofErr w:type="spellEnd"/>
      <w:r w:rsidRPr="000C21AB">
        <w:rPr>
          <w:rFonts w:ascii="Times New Roman" w:hAnsi="Times New Roman" w:cs="Times New Roman"/>
          <w:sz w:val="20"/>
          <w:lang w:eastAsia="en-IN"/>
        </w:rPr>
        <w:t>, A., et al. (2013). Modified mRNA directs the fate of heart progenitor cells and induces vascular regeneration after myocardial infarction. Nature Biotechnology, 31(10), 898–907. https://doi.org/10.1038/nbt.2682</w:t>
      </w:r>
    </w:p>
    <w:p w14:paraId="2649F3AE" w14:textId="77777777"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r w:rsidRPr="000C21AB">
        <w:rPr>
          <w:rFonts w:ascii="Times New Roman" w:hAnsi="Times New Roman" w:cs="Times New Roman"/>
          <w:sz w:val="20"/>
          <w:lang w:eastAsia="en-IN"/>
        </w:rPr>
        <w:t>Liu, Z., Zhang, S., Zhao, X., et al. (2020). Injectable hydrogel encapsulating modified mRNA promotes skin regeneration in diabetic wounds. ACS Applied Materials &amp; Interfaces, 12(45), 51243–51256. https://doi.org/10.1021/acsami.0c15914</w:t>
      </w:r>
    </w:p>
    <w:p w14:paraId="7E16212A" w14:textId="77777777" w:rsidR="000C21AB" w:rsidRPr="000C21AB"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r w:rsidRPr="000C21AB">
        <w:rPr>
          <w:rFonts w:ascii="Times New Roman" w:hAnsi="Times New Roman" w:cs="Times New Roman"/>
          <w:sz w:val="20"/>
          <w:lang w:eastAsia="en-IN"/>
        </w:rPr>
        <w:t>Kim, H. J., Yoon, C., &amp; Lee, M. Y. (2019). Therapeutic HGF mRNA delivery for liver regeneration. Molecular Therapy - Nucleic Acids, 16, 112–123. https://doi.org/10.1016/j.omtn.2019.02.005</w:t>
      </w:r>
    </w:p>
    <w:p w14:paraId="7D2D6005" w14:textId="320348FC" w:rsidR="00F45C76" w:rsidRPr="00DE2980" w:rsidRDefault="000C21AB" w:rsidP="000C21AB">
      <w:pPr>
        <w:pStyle w:val="ListParagraph"/>
        <w:numPr>
          <w:ilvl w:val="0"/>
          <w:numId w:val="39"/>
        </w:numPr>
        <w:spacing w:after="60" w:line="240" w:lineRule="auto"/>
        <w:ind w:left="446" w:hanging="446"/>
        <w:contextualSpacing w:val="0"/>
        <w:jc w:val="both"/>
        <w:rPr>
          <w:rFonts w:ascii="Times New Roman" w:hAnsi="Times New Roman" w:cs="Times New Roman"/>
          <w:sz w:val="20"/>
          <w:lang w:eastAsia="en-IN"/>
        </w:rPr>
      </w:pPr>
      <w:r w:rsidRPr="000C21AB">
        <w:rPr>
          <w:rFonts w:ascii="Times New Roman" w:hAnsi="Times New Roman" w:cs="Times New Roman"/>
          <w:sz w:val="20"/>
          <w:lang w:eastAsia="en-IN"/>
        </w:rPr>
        <w:t xml:space="preserve">Yin, H., Song, C. Q., </w:t>
      </w:r>
      <w:proofErr w:type="spellStart"/>
      <w:r w:rsidRPr="000C21AB">
        <w:rPr>
          <w:rFonts w:ascii="Times New Roman" w:hAnsi="Times New Roman" w:cs="Times New Roman"/>
          <w:sz w:val="20"/>
          <w:lang w:eastAsia="en-IN"/>
        </w:rPr>
        <w:t>Dorkin</w:t>
      </w:r>
      <w:proofErr w:type="spellEnd"/>
      <w:r w:rsidRPr="000C21AB">
        <w:rPr>
          <w:rFonts w:ascii="Times New Roman" w:hAnsi="Times New Roman" w:cs="Times New Roman"/>
          <w:sz w:val="20"/>
          <w:lang w:eastAsia="en-IN"/>
        </w:rPr>
        <w:t>, J. R., et al. (2016). Therapeutic genome editing by combined viral and non-viral delivery of CRISPR system components in vivo. Nature Biotechnology, 34(3), 328–333. (Discusses regenerative repair via gene-editing and mRNA in combination)</w:t>
      </w:r>
      <w:r w:rsidR="00DE2980" w:rsidRPr="00DE2980">
        <w:rPr>
          <w:rFonts w:ascii="Times New Roman" w:hAnsi="Times New Roman" w:cs="Times New Roman"/>
          <w:sz w:val="20"/>
          <w:lang w:eastAsia="en-IN"/>
        </w:rPr>
        <w:t>.</w:t>
      </w:r>
    </w:p>
    <w:sectPr w:rsidR="00F45C76" w:rsidRPr="00DE2980" w:rsidSect="00D80931">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440" w:right="1440" w:bottom="1440" w:left="1440" w:header="720" w:footer="720" w:gutter="0"/>
      <w:pgNumType w:start="724"/>
      <w:cols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E6923" w14:textId="77777777" w:rsidR="00340AF4" w:rsidRDefault="00340AF4" w:rsidP="00E75C5D">
      <w:pPr>
        <w:spacing w:after="0" w:line="240" w:lineRule="auto"/>
      </w:pPr>
      <w:r>
        <w:separator/>
      </w:r>
    </w:p>
  </w:endnote>
  <w:endnote w:type="continuationSeparator" w:id="0">
    <w:p w14:paraId="232C3E2E" w14:textId="77777777" w:rsidR="00340AF4" w:rsidRDefault="00340AF4" w:rsidP="00E75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2272847"/>
      <w:docPartObj>
        <w:docPartGallery w:val="Page Numbers (Bottom of Page)"/>
        <w:docPartUnique/>
      </w:docPartObj>
    </w:sdtPr>
    <w:sdtEndPr>
      <w:rPr>
        <w:rFonts w:ascii="Times New Roman" w:hAnsi="Times New Roman" w:cs="Times New Roman"/>
        <w:noProof/>
        <w:sz w:val="20"/>
        <w:szCs w:val="20"/>
      </w:rPr>
    </w:sdtEndPr>
    <w:sdtContent>
      <w:p w14:paraId="10C6BA59" w14:textId="77777777" w:rsidR="00DE5679" w:rsidRPr="00C0625D" w:rsidRDefault="00DE5679" w:rsidP="00DE5679">
        <w:pPr>
          <w:pStyle w:val="Footer"/>
          <w:jc w:val="center"/>
          <w:rPr>
            <w:rFonts w:ascii="Times New Roman" w:hAnsi="Times New Roman" w:cs="Times New Roman"/>
            <w:sz w:val="20"/>
            <w:szCs w:val="20"/>
          </w:rPr>
        </w:pPr>
        <w:r w:rsidRPr="00C0625D">
          <w:rPr>
            <w:rFonts w:ascii="Times New Roman" w:hAnsi="Times New Roman" w:cs="Times New Roman"/>
            <w:sz w:val="20"/>
            <w:szCs w:val="20"/>
          </w:rPr>
          <w:fldChar w:fldCharType="begin"/>
        </w:r>
        <w:r w:rsidRPr="00C0625D">
          <w:rPr>
            <w:rFonts w:ascii="Times New Roman" w:hAnsi="Times New Roman" w:cs="Times New Roman"/>
            <w:sz w:val="20"/>
            <w:szCs w:val="20"/>
          </w:rPr>
          <w:instrText xml:space="preserve"> PAGE   \* MERGEFORMAT </w:instrText>
        </w:r>
        <w:r w:rsidRPr="00C0625D">
          <w:rPr>
            <w:rFonts w:ascii="Times New Roman" w:hAnsi="Times New Roman" w:cs="Times New Roman"/>
            <w:sz w:val="20"/>
            <w:szCs w:val="20"/>
          </w:rPr>
          <w:fldChar w:fldCharType="separate"/>
        </w:r>
        <w:r w:rsidR="000C21AB">
          <w:rPr>
            <w:rFonts w:ascii="Times New Roman" w:hAnsi="Times New Roman" w:cs="Times New Roman"/>
            <w:noProof/>
            <w:sz w:val="20"/>
            <w:szCs w:val="20"/>
          </w:rPr>
          <w:t>6</w:t>
        </w:r>
        <w:r w:rsidRPr="00C0625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2921999"/>
      <w:docPartObj>
        <w:docPartGallery w:val="Page Numbers (Bottom of Page)"/>
        <w:docPartUnique/>
      </w:docPartObj>
    </w:sdtPr>
    <w:sdtEndPr>
      <w:rPr>
        <w:rFonts w:ascii="Times New Roman" w:hAnsi="Times New Roman" w:cs="Times New Roman"/>
        <w:noProof/>
        <w:sz w:val="20"/>
        <w:szCs w:val="20"/>
      </w:rPr>
    </w:sdtEndPr>
    <w:sdtContent>
      <w:p w14:paraId="09D538D8" w14:textId="27DC3DE9" w:rsidR="00D01DDB" w:rsidRPr="00C0625D" w:rsidRDefault="00D01DDB" w:rsidP="0020693F">
        <w:pPr>
          <w:pStyle w:val="Footer"/>
          <w:jc w:val="center"/>
          <w:rPr>
            <w:rFonts w:ascii="Times New Roman" w:hAnsi="Times New Roman" w:cs="Times New Roman"/>
            <w:sz w:val="20"/>
            <w:szCs w:val="20"/>
          </w:rPr>
        </w:pPr>
        <w:r w:rsidRPr="00C0625D">
          <w:rPr>
            <w:rFonts w:ascii="Times New Roman" w:hAnsi="Times New Roman" w:cs="Times New Roman"/>
            <w:sz w:val="20"/>
            <w:szCs w:val="20"/>
          </w:rPr>
          <w:fldChar w:fldCharType="begin"/>
        </w:r>
        <w:r w:rsidRPr="00C0625D">
          <w:rPr>
            <w:rFonts w:ascii="Times New Roman" w:hAnsi="Times New Roman" w:cs="Times New Roman"/>
            <w:sz w:val="20"/>
            <w:szCs w:val="20"/>
          </w:rPr>
          <w:instrText xml:space="preserve"> PAGE   \* MERGEFORMAT </w:instrText>
        </w:r>
        <w:r w:rsidRPr="00C0625D">
          <w:rPr>
            <w:rFonts w:ascii="Times New Roman" w:hAnsi="Times New Roman" w:cs="Times New Roman"/>
            <w:sz w:val="20"/>
            <w:szCs w:val="20"/>
          </w:rPr>
          <w:fldChar w:fldCharType="separate"/>
        </w:r>
        <w:r w:rsidR="000C21AB">
          <w:rPr>
            <w:rFonts w:ascii="Times New Roman" w:hAnsi="Times New Roman" w:cs="Times New Roman"/>
            <w:noProof/>
            <w:sz w:val="20"/>
            <w:szCs w:val="20"/>
          </w:rPr>
          <w:t>7</w:t>
        </w:r>
        <w:r w:rsidRPr="00C0625D">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8061529"/>
      <w:docPartObj>
        <w:docPartGallery w:val="Page Numbers (Bottom of Page)"/>
        <w:docPartUnique/>
      </w:docPartObj>
    </w:sdtPr>
    <w:sdtEndPr>
      <w:rPr>
        <w:rFonts w:ascii="Times New Roman" w:hAnsi="Times New Roman" w:cs="Times New Roman"/>
        <w:noProof/>
        <w:sz w:val="20"/>
        <w:szCs w:val="20"/>
      </w:rPr>
    </w:sdtEndPr>
    <w:sdtContent>
      <w:p w14:paraId="48EB12CA" w14:textId="77777777" w:rsidR="00D80931" w:rsidRDefault="00D80931" w:rsidP="00DE5679">
        <w:pPr>
          <w:pStyle w:val="Footer"/>
          <w:jc w:val="center"/>
        </w:pPr>
      </w:p>
      <w:p w14:paraId="087921A3" w14:textId="64C3DC66" w:rsidR="00DE5679" w:rsidRPr="00C0625D" w:rsidRDefault="00DE5679" w:rsidP="00DE5679">
        <w:pPr>
          <w:pStyle w:val="Footer"/>
          <w:jc w:val="center"/>
          <w:rPr>
            <w:rFonts w:ascii="Times New Roman" w:hAnsi="Times New Roman" w:cs="Times New Roman"/>
            <w:sz w:val="20"/>
            <w:szCs w:val="20"/>
          </w:rPr>
        </w:pPr>
        <w:r w:rsidRPr="00C0625D">
          <w:rPr>
            <w:rFonts w:ascii="Times New Roman" w:hAnsi="Times New Roman" w:cs="Times New Roman"/>
            <w:sz w:val="20"/>
            <w:szCs w:val="20"/>
          </w:rPr>
          <w:fldChar w:fldCharType="begin"/>
        </w:r>
        <w:r w:rsidRPr="00C0625D">
          <w:rPr>
            <w:rFonts w:ascii="Times New Roman" w:hAnsi="Times New Roman" w:cs="Times New Roman"/>
            <w:sz w:val="20"/>
            <w:szCs w:val="20"/>
          </w:rPr>
          <w:instrText xml:space="preserve"> PAGE   \* MERGEFORMAT </w:instrText>
        </w:r>
        <w:r w:rsidRPr="00C0625D">
          <w:rPr>
            <w:rFonts w:ascii="Times New Roman" w:hAnsi="Times New Roman" w:cs="Times New Roman"/>
            <w:sz w:val="20"/>
            <w:szCs w:val="20"/>
          </w:rPr>
          <w:fldChar w:fldCharType="separate"/>
        </w:r>
        <w:r w:rsidR="000C21AB">
          <w:rPr>
            <w:rFonts w:ascii="Times New Roman" w:hAnsi="Times New Roman" w:cs="Times New Roman"/>
            <w:noProof/>
            <w:sz w:val="20"/>
            <w:szCs w:val="20"/>
          </w:rPr>
          <w:t>1</w:t>
        </w:r>
        <w:r w:rsidRPr="00C0625D">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78104" w14:textId="77777777" w:rsidR="00340AF4" w:rsidRDefault="00340AF4" w:rsidP="00E75C5D">
      <w:pPr>
        <w:spacing w:after="0" w:line="240" w:lineRule="auto"/>
      </w:pPr>
      <w:r>
        <w:separator/>
      </w:r>
    </w:p>
  </w:footnote>
  <w:footnote w:type="continuationSeparator" w:id="0">
    <w:p w14:paraId="5FEAB21D" w14:textId="77777777" w:rsidR="00340AF4" w:rsidRDefault="00340AF4" w:rsidP="00E75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E58FF" w14:textId="746E2BB6" w:rsidR="00DE5679" w:rsidRPr="00F302C6" w:rsidRDefault="000C21AB" w:rsidP="00DE5679">
    <w:pPr>
      <w:pStyle w:val="Header"/>
      <w:jc w:val="right"/>
      <w:rPr>
        <w:rFonts w:ascii="Times New Roman" w:hAnsi="Times New Roman" w:cs="Times New Roman"/>
        <w:i/>
        <w:sz w:val="18"/>
        <w:szCs w:val="18"/>
      </w:rPr>
    </w:pPr>
    <w:r w:rsidRPr="000C21AB">
      <w:rPr>
        <w:rFonts w:ascii="Times New Roman" w:hAnsi="Times New Roman" w:cs="Times New Roman"/>
        <w:i/>
        <w:sz w:val="18"/>
        <w:szCs w:val="18"/>
      </w:rPr>
      <w:t>Sachin Verma</w:t>
    </w:r>
    <w:r w:rsidR="00DE5679" w:rsidRPr="00F302C6">
      <w:rPr>
        <w:rFonts w:ascii="Times New Roman" w:hAnsi="Times New Roman" w:cs="Times New Roman"/>
        <w:i/>
        <w:sz w:val="18"/>
        <w:szCs w:val="18"/>
      </w:rPr>
      <w:t>.,</w:t>
    </w:r>
    <w:r w:rsidR="00EF1DDE">
      <w:rPr>
        <w:rFonts w:ascii="Times New Roman" w:hAnsi="Times New Roman" w:cs="Times New Roman"/>
        <w:i/>
        <w:sz w:val="18"/>
        <w:szCs w:val="18"/>
      </w:rPr>
      <w:t xml:space="preserve"> </w:t>
    </w:r>
    <w:r w:rsidR="00DE5679" w:rsidRPr="00F302C6">
      <w:rPr>
        <w:rFonts w:ascii="Times New Roman" w:hAnsi="Times New Roman" w:cs="Times New Roman"/>
        <w:i/>
        <w:sz w:val="18"/>
        <w:szCs w:val="18"/>
      </w:rPr>
      <w:t>et al / Int. J. of Allied Med. Sci. and Clin. Research 14(</w:t>
    </w:r>
    <w:r w:rsidR="00D80931">
      <w:rPr>
        <w:rFonts w:ascii="Times New Roman" w:hAnsi="Times New Roman" w:cs="Times New Roman"/>
        <w:i/>
        <w:sz w:val="18"/>
        <w:szCs w:val="18"/>
      </w:rPr>
      <w:t>2</w:t>
    </w:r>
    <w:r w:rsidR="00DE5679" w:rsidRPr="00F302C6">
      <w:rPr>
        <w:rFonts w:ascii="Times New Roman" w:hAnsi="Times New Roman" w:cs="Times New Roman"/>
        <w:i/>
        <w:sz w:val="18"/>
        <w:szCs w:val="18"/>
      </w:rPr>
      <w:t>) 2026 [</w:t>
    </w:r>
    <w:r w:rsidR="00D80931">
      <w:rPr>
        <w:rFonts w:ascii="Times New Roman" w:hAnsi="Times New Roman" w:cs="Times New Roman"/>
        <w:i/>
        <w:sz w:val="18"/>
        <w:szCs w:val="18"/>
      </w:rPr>
      <w:t>724</w:t>
    </w:r>
    <w:r w:rsidR="00DE5679" w:rsidRPr="00F302C6">
      <w:rPr>
        <w:rFonts w:ascii="Times New Roman" w:hAnsi="Times New Roman" w:cs="Times New Roman"/>
        <w:i/>
        <w:sz w:val="18"/>
        <w:szCs w:val="18"/>
      </w:rPr>
      <w:t>-73</w:t>
    </w:r>
    <w:r w:rsidR="00D80931">
      <w:rPr>
        <w:rFonts w:ascii="Times New Roman" w:hAnsi="Times New Roman" w:cs="Times New Roman"/>
        <w:i/>
        <w:sz w:val="18"/>
        <w:szCs w:val="18"/>
      </w:rPr>
      <w:t>0</w:t>
    </w:r>
    <w:r w:rsidR="00DE5679" w:rsidRPr="00F302C6">
      <w:rPr>
        <w:rFonts w:ascii="Times New Roman" w:hAnsi="Times New Roman" w:cs="Times New Roman"/>
        <w:i/>
        <w:sz w:val="18"/>
        <w:szCs w:val="18"/>
      </w:rPr>
      <w:t>]</w:t>
    </w:r>
  </w:p>
  <w:p w14:paraId="61BFBD46" w14:textId="77777777" w:rsidR="00DE5679" w:rsidRDefault="00DE5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0FF7" w14:textId="5DEE844F" w:rsidR="00DE5679" w:rsidRPr="00F302C6" w:rsidRDefault="000C21AB" w:rsidP="00DE5679">
    <w:pPr>
      <w:pStyle w:val="Header"/>
      <w:jc w:val="right"/>
      <w:rPr>
        <w:rFonts w:ascii="Times New Roman" w:hAnsi="Times New Roman" w:cs="Times New Roman"/>
        <w:i/>
        <w:sz w:val="18"/>
        <w:szCs w:val="18"/>
      </w:rPr>
    </w:pPr>
    <w:r w:rsidRPr="000C21AB">
      <w:rPr>
        <w:rFonts w:ascii="Times New Roman" w:hAnsi="Times New Roman" w:cs="Times New Roman"/>
        <w:i/>
        <w:sz w:val="18"/>
        <w:szCs w:val="18"/>
      </w:rPr>
      <w:t>Sachin Verma</w:t>
    </w:r>
    <w:r w:rsidR="00EF1DDE" w:rsidRPr="00F302C6">
      <w:rPr>
        <w:rFonts w:ascii="Times New Roman" w:hAnsi="Times New Roman" w:cs="Times New Roman"/>
        <w:i/>
        <w:sz w:val="18"/>
        <w:szCs w:val="18"/>
      </w:rPr>
      <w:t>, et</w:t>
    </w:r>
    <w:r w:rsidR="00DE5679" w:rsidRPr="00F302C6">
      <w:rPr>
        <w:rFonts w:ascii="Times New Roman" w:hAnsi="Times New Roman" w:cs="Times New Roman"/>
        <w:i/>
        <w:sz w:val="18"/>
        <w:szCs w:val="18"/>
      </w:rPr>
      <w:t xml:space="preserve"> al / Int. J. of Allied Med. Sci. and Clin. Research 14(</w:t>
    </w:r>
    <w:r w:rsidR="00D80931">
      <w:rPr>
        <w:rFonts w:ascii="Times New Roman" w:hAnsi="Times New Roman" w:cs="Times New Roman"/>
        <w:i/>
        <w:sz w:val="18"/>
        <w:szCs w:val="18"/>
      </w:rPr>
      <w:t>2</w:t>
    </w:r>
    <w:r w:rsidR="00DE5679" w:rsidRPr="00F302C6">
      <w:rPr>
        <w:rFonts w:ascii="Times New Roman" w:hAnsi="Times New Roman" w:cs="Times New Roman"/>
        <w:i/>
        <w:sz w:val="18"/>
        <w:szCs w:val="18"/>
      </w:rPr>
      <w:t>) 2026 [</w:t>
    </w:r>
    <w:r w:rsidR="00D80931">
      <w:rPr>
        <w:rFonts w:ascii="Times New Roman" w:hAnsi="Times New Roman" w:cs="Times New Roman"/>
        <w:i/>
        <w:sz w:val="18"/>
        <w:szCs w:val="18"/>
      </w:rPr>
      <w:t>724</w:t>
    </w:r>
    <w:r w:rsidR="00DE5679" w:rsidRPr="00F302C6">
      <w:rPr>
        <w:rFonts w:ascii="Times New Roman" w:hAnsi="Times New Roman" w:cs="Times New Roman"/>
        <w:i/>
        <w:sz w:val="18"/>
        <w:szCs w:val="18"/>
      </w:rPr>
      <w:t>-73</w:t>
    </w:r>
    <w:r w:rsidR="00D80931">
      <w:rPr>
        <w:rFonts w:ascii="Times New Roman" w:hAnsi="Times New Roman" w:cs="Times New Roman"/>
        <w:i/>
        <w:sz w:val="18"/>
        <w:szCs w:val="18"/>
      </w:rPr>
      <w:t>0</w:t>
    </w:r>
    <w:r w:rsidR="00DE5679" w:rsidRPr="00F302C6">
      <w:rPr>
        <w:rFonts w:ascii="Times New Roman" w:hAnsi="Times New Roman" w:cs="Times New Roman"/>
        <w:i/>
        <w:sz w:val="18"/>
        <w:szCs w:val="18"/>
      </w:rPr>
      <w:t>]</w:t>
    </w:r>
  </w:p>
  <w:p w14:paraId="7CA8319F" w14:textId="04525D3F" w:rsidR="00D01DDB" w:rsidRPr="00DE5679" w:rsidRDefault="00D01DDB" w:rsidP="00DE56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AF792" w14:textId="6316ADC4" w:rsidR="00D80931" w:rsidRPr="00F302C6" w:rsidRDefault="00D80931" w:rsidP="00D80931">
    <w:pPr>
      <w:pStyle w:val="Header"/>
      <w:jc w:val="right"/>
      <w:rPr>
        <w:rFonts w:ascii="Times New Roman" w:hAnsi="Times New Roman" w:cs="Times New Roman"/>
        <w:i/>
        <w:sz w:val="18"/>
        <w:szCs w:val="18"/>
      </w:rPr>
    </w:pPr>
    <w:r w:rsidRPr="000C21AB">
      <w:rPr>
        <w:rFonts w:ascii="Times New Roman" w:hAnsi="Times New Roman" w:cs="Times New Roman"/>
        <w:i/>
        <w:sz w:val="18"/>
        <w:szCs w:val="18"/>
      </w:rPr>
      <w:t>Sachin Verma</w:t>
    </w:r>
    <w:r w:rsidRPr="00F302C6">
      <w:rPr>
        <w:rFonts w:ascii="Times New Roman" w:hAnsi="Times New Roman" w:cs="Times New Roman"/>
        <w:i/>
        <w:sz w:val="18"/>
        <w:szCs w:val="18"/>
      </w:rPr>
      <w:t>., et al / Int. J. of Allied Med. Sci. and Clin. Research 14(</w:t>
    </w:r>
    <w:r>
      <w:rPr>
        <w:rFonts w:ascii="Times New Roman" w:hAnsi="Times New Roman" w:cs="Times New Roman"/>
        <w:i/>
        <w:sz w:val="18"/>
        <w:szCs w:val="18"/>
      </w:rPr>
      <w:t>2</w:t>
    </w:r>
    <w:r w:rsidRPr="00F302C6">
      <w:rPr>
        <w:rFonts w:ascii="Times New Roman" w:hAnsi="Times New Roman" w:cs="Times New Roman"/>
        <w:i/>
        <w:sz w:val="18"/>
        <w:szCs w:val="18"/>
      </w:rPr>
      <w:t>) 2026 [</w:t>
    </w:r>
    <w:r>
      <w:rPr>
        <w:rFonts w:ascii="Times New Roman" w:hAnsi="Times New Roman" w:cs="Times New Roman"/>
        <w:i/>
        <w:sz w:val="18"/>
        <w:szCs w:val="18"/>
      </w:rPr>
      <w:t>724</w:t>
    </w:r>
    <w:r w:rsidRPr="00F302C6">
      <w:rPr>
        <w:rFonts w:ascii="Times New Roman" w:hAnsi="Times New Roman" w:cs="Times New Roman"/>
        <w:i/>
        <w:sz w:val="18"/>
        <w:szCs w:val="18"/>
      </w:rPr>
      <w:t>-</w:t>
    </w:r>
    <w:r>
      <w:rPr>
        <w:rFonts w:ascii="Times New Roman" w:hAnsi="Times New Roman" w:cs="Times New Roman"/>
        <w:i/>
        <w:sz w:val="18"/>
        <w:szCs w:val="18"/>
      </w:rPr>
      <w:t>7</w:t>
    </w:r>
    <w:r w:rsidRPr="00F302C6">
      <w:rPr>
        <w:rFonts w:ascii="Times New Roman" w:hAnsi="Times New Roman" w:cs="Times New Roman"/>
        <w:i/>
        <w:sz w:val="18"/>
        <w:szCs w:val="18"/>
      </w:rPr>
      <w:t>3</w:t>
    </w:r>
    <w:r>
      <w:rPr>
        <w:rFonts w:ascii="Times New Roman" w:hAnsi="Times New Roman" w:cs="Times New Roman"/>
        <w:i/>
        <w:sz w:val="18"/>
        <w:szCs w:val="18"/>
      </w:rPr>
      <w:t>0</w:t>
    </w:r>
    <w:r w:rsidRPr="00F302C6">
      <w:rPr>
        <w:rFonts w:ascii="Times New Roman" w:hAnsi="Times New Roman" w:cs="Times New Roman"/>
        <w:i/>
        <w:sz w:val="18"/>
        <w:szCs w:val="18"/>
      </w:rPr>
      <w:t>]</w:t>
    </w:r>
  </w:p>
  <w:p w14:paraId="354802EC" w14:textId="77777777" w:rsidR="00DE5679" w:rsidRPr="00D80931" w:rsidRDefault="00DE5679" w:rsidP="00D80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DAA111"/>
    <w:multiLevelType w:val="singleLevel"/>
    <w:tmpl w:val="EEDAA111"/>
    <w:lvl w:ilvl="0">
      <w:start w:val="5"/>
      <w:numFmt w:val="decimal"/>
      <w:lvlText w:val="%1."/>
      <w:lvlJc w:val="left"/>
      <w:pPr>
        <w:tabs>
          <w:tab w:val="left" w:pos="312"/>
        </w:tabs>
      </w:pPr>
    </w:lvl>
  </w:abstractNum>
  <w:abstractNum w:abstractNumId="1" w15:restartNumberingAfterBreak="0">
    <w:nsid w:val="015A7832"/>
    <w:multiLevelType w:val="hybridMultilevel"/>
    <w:tmpl w:val="BD7485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C5591C"/>
    <w:multiLevelType w:val="hybridMultilevel"/>
    <w:tmpl w:val="95509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C2533"/>
    <w:multiLevelType w:val="hybridMultilevel"/>
    <w:tmpl w:val="9F26DC3C"/>
    <w:lvl w:ilvl="0" w:tplc="6B1A3CA6">
      <w:start w:val="1"/>
      <w:numFmt w:val="decimal"/>
      <w:lvlText w:val="%1."/>
      <w:lvlJc w:val="left"/>
      <w:pPr>
        <w:ind w:left="23" w:hanging="182"/>
      </w:pPr>
      <w:rPr>
        <w:rFonts w:ascii="Times New Roman" w:eastAsia="Times New Roman" w:hAnsi="Times New Roman" w:cs="Times New Roman" w:hint="default"/>
        <w:b w:val="0"/>
        <w:bCs w:val="0"/>
        <w:i w:val="0"/>
        <w:iCs w:val="0"/>
        <w:spacing w:val="0"/>
        <w:w w:val="95"/>
        <w:sz w:val="22"/>
        <w:szCs w:val="22"/>
        <w:lang w:val="en-US" w:eastAsia="en-US" w:bidi="ar-SA"/>
      </w:rPr>
    </w:lvl>
    <w:lvl w:ilvl="1" w:tplc="17BE1E94">
      <w:numFmt w:val="bullet"/>
      <w:lvlText w:val="•"/>
      <w:lvlJc w:val="left"/>
      <w:pPr>
        <w:ind w:left="896" w:hanging="182"/>
      </w:pPr>
      <w:rPr>
        <w:rFonts w:hint="default"/>
        <w:lang w:val="en-US" w:eastAsia="en-US" w:bidi="ar-SA"/>
      </w:rPr>
    </w:lvl>
    <w:lvl w:ilvl="2" w:tplc="8F8088C0">
      <w:numFmt w:val="bullet"/>
      <w:lvlText w:val="•"/>
      <w:lvlJc w:val="left"/>
      <w:pPr>
        <w:ind w:left="1773" w:hanging="182"/>
      </w:pPr>
      <w:rPr>
        <w:rFonts w:hint="default"/>
        <w:lang w:val="en-US" w:eastAsia="en-US" w:bidi="ar-SA"/>
      </w:rPr>
    </w:lvl>
    <w:lvl w:ilvl="3" w:tplc="90CC80F0">
      <w:numFmt w:val="bullet"/>
      <w:lvlText w:val="•"/>
      <w:lvlJc w:val="left"/>
      <w:pPr>
        <w:ind w:left="2650" w:hanging="182"/>
      </w:pPr>
      <w:rPr>
        <w:rFonts w:hint="default"/>
        <w:lang w:val="en-US" w:eastAsia="en-US" w:bidi="ar-SA"/>
      </w:rPr>
    </w:lvl>
    <w:lvl w:ilvl="4" w:tplc="0BB8DCC2">
      <w:numFmt w:val="bullet"/>
      <w:lvlText w:val="•"/>
      <w:lvlJc w:val="left"/>
      <w:pPr>
        <w:ind w:left="3527" w:hanging="182"/>
      </w:pPr>
      <w:rPr>
        <w:rFonts w:hint="default"/>
        <w:lang w:val="en-US" w:eastAsia="en-US" w:bidi="ar-SA"/>
      </w:rPr>
    </w:lvl>
    <w:lvl w:ilvl="5" w:tplc="A1109542">
      <w:numFmt w:val="bullet"/>
      <w:lvlText w:val="•"/>
      <w:lvlJc w:val="left"/>
      <w:pPr>
        <w:ind w:left="4404" w:hanging="182"/>
      </w:pPr>
      <w:rPr>
        <w:rFonts w:hint="default"/>
        <w:lang w:val="en-US" w:eastAsia="en-US" w:bidi="ar-SA"/>
      </w:rPr>
    </w:lvl>
    <w:lvl w:ilvl="6" w:tplc="762AC652">
      <w:numFmt w:val="bullet"/>
      <w:lvlText w:val="•"/>
      <w:lvlJc w:val="left"/>
      <w:pPr>
        <w:ind w:left="5281" w:hanging="182"/>
      </w:pPr>
      <w:rPr>
        <w:rFonts w:hint="default"/>
        <w:lang w:val="en-US" w:eastAsia="en-US" w:bidi="ar-SA"/>
      </w:rPr>
    </w:lvl>
    <w:lvl w:ilvl="7" w:tplc="CB68F3BC">
      <w:numFmt w:val="bullet"/>
      <w:lvlText w:val="•"/>
      <w:lvlJc w:val="left"/>
      <w:pPr>
        <w:ind w:left="6158" w:hanging="182"/>
      </w:pPr>
      <w:rPr>
        <w:rFonts w:hint="default"/>
        <w:lang w:val="en-US" w:eastAsia="en-US" w:bidi="ar-SA"/>
      </w:rPr>
    </w:lvl>
    <w:lvl w:ilvl="8" w:tplc="19CC2A04">
      <w:numFmt w:val="bullet"/>
      <w:lvlText w:val="•"/>
      <w:lvlJc w:val="left"/>
      <w:pPr>
        <w:ind w:left="7035" w:hanging="182"/>
      </w:pPr>
      <w:rPr>
        <w:rFonts w:hint="default"/>
        <w:lang w:val="en-US" w:eastAsia="en-US" w:bidi="ar-SA"/>
      </w:rPr>
    </w:lvl>
  </w:abstractNum>
  <w:abstractNum w:abstractNumId="4" w15:restartNumberingAfterBreak="0">
    <w:nsid w:val="05832942"/>
    <w:multiLevelType w:val="multilevel"/>
    <w:tmpl w:val="DBD29FA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3839DA"/>
    <w:multiLevelType w:val="hybridMultilevel"/>
    <w:tmpl w:val="2716E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E87825"/>
    <w:multiLevelType w:val="hybridMultilevel"/>
    <w:tmpl w:val="EDE06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1C202A1"/>
    <w:multiLevelType w:val="multilevel"/>
    <w:tmpl w:val="251C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E6474"/>
    <w:multiLevelType w:val="hybridMultilevel"/>
    <w:tmpl w:val="E7EE16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6782F9D"/>
    <w:multiLevelType w:val="hybridMultilevel"/>
    <w:tmpl w:val="A50A1B1A"/>
    <w:lvl w:ilvl="0" w:tplc="431AC44C">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5A5A3B"/>
    <w:multiLevelType w:val="hybridMultilevel"/>
    <w:tmpl w:val="ABBCC9DC"/>
    <w:lvl w:ilvl="0" w:tplc="340E5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22639B"/>
    <w:multiLevelType w:val="hybridMultilevel"/>
    <w:tmpl w:val="1CA074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B7462DC"/>
    <w:multiLevelType w:val="hybridMultilevel"/>
    <w:tmpl w:val="CB68F32E"/>
    <w:lvl w:ilvl="0" w:tplc="0409000F">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3" w15:restartNumberingAfterBreak="0">
    <w:nsid w:val="1CCB504F"/>
    <w:multiLevelType w:val="hybridMultilevel"/>
    <w:tmpl w:val="5628C7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DBD1372"/>
    <w:multiLevelType w:val="hybridMultilevel"/>
    <w:tmpl w:val="FE720B4A"/>
    <w:lvl w:ilvl="0" w:tplc="4009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5" w15:restartNumberingAfterBreak="0">
    <w:nsid w:val="1FEA0636"/>
    <w:multiLevelType w:val="multilevel"/>
    <w:tmpl w:val="F558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9B2122"/>
    <w:multiLevelType w:val="hybridMultilevel"/>
    <w:tmpl w:val="42FE7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C238DD"/>
    <w:multiLevelType w:val="hybridMultilevel"/>
    <w:tmpl w:val="76005308"/>
    <w:lvl w:ilvl="0" w:tplc="E4F046D6">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A694378"/>
    <w:multiLevelType w:val="hybridMultilevel"/>
    <w:tmpl w:val="C7F819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C265F53"/>
    <w:multiLevelType w:val="hybridMultilevel"/>
    <w:tmpl w:val="68AC18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EB046D2"/>
    <w:multiLevelType w:val="hybridMultilevel"/>
    <w:tmpl w:val="60EE1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E76F37"/>
    <w:multiLevelType w:val="hybridMultilevel"/>
    <w:tmpl w:val="E0BE6F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0B01255"/>
    <w:multiLevelType w:val="hybridMultilevel"/>
    <w:tmpl w:val="FA0AD7D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310D6AE3"/>
    <w:multiLevelType w:val="hybridMultilevel"/>
    <w:tmpl w:val="1C040AF4"/>
    <w:lvl w:ilvl="0" w:tplc="A0E87392">
      <w:start w:val="1"/>
      <w:numFmt w:val="decimal"/>
      <w:lvlText w:val="%1)"/>
      <w:lvlJc w:val="left"/>
      <w:pPr>
        <w:ind w:left="1353"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33B0B03"/>
    <w:multiLevelType w:val="multilevel"/>
    <w:tmpl w:val="5A30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A85050"/>
    <w:multiLevelType w:val="multilevel"/>
    <w:tmpl w:val="9EAC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CC4F18"/>
    <w:multiLevelType w:val="hybridMultilevel"/>
    <w:tmpl w:val="0A92FB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9C57AC5"/>
    <w:multiLevelType w:val="hybridMultilevel"/>
    <w:tmpl w:val="4A3C51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3CD45251"/>
    <w:multiLevelType w:val="hybridMultilevel"/>
    <w:tmpl w:val="100E30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3E243A42"/>
    <w:multiLevelType w:val="hybridMultilevel"/>
    <w:tmpl w:val="EBD62F22"/>
    <w:lvl w:ilvl="0" w:tplc="2886EF70">
      <w:start w:val="1"/>
      <w:numFmt w:val="bullet"/>
      <w:lvlText w:val=""/>
      <w:lvlJc w:val="righ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56B5AC7"/>
    <w:multiLevelType w:val="hybridMultilevel"/>
    <w:tmpl w:val="830852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99947B0"/>
    <w:multiLevelType w:val="hybridMultilevel"/>
    <w:tmpl w:val="E94233D6"/>
    <w:lvl w:ilvl="0" w:tplc="431AC44C">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9D10CE1"/>
    <w:multiLevelType w:val="hybridMultilevel"/>
    <w:tmpl w:val="687CEE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7FF113B"/>
    <w:multiLevelType w:val="multilevel"/>
    <w:tmpl w:val="534C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B35FDD"/>
    <w:multiLevelType w:val="hybridMultilevel"/>
    <w:tmpl w:val="CF348B58"/>
    <w:lvl w:ilvl="0" w:tplc="431AC44C">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5F4ED2"/>
    <w:multiLevelType w:val="hybridMultilevel"/>
    <w:tmpl w:val="F02416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5E996DC8"/>
    <w:multiLevelType w:val="hybridMultilevel"/>
    <w:tmpl w:val="B2D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853583"/>
    <w:multiLevelType w:val="hybridMultilevel"/>
    <w:tmpl w:val="417A7B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50F3AF6"/>
    <w:multiLevelType w:val="hybridMultilevel"/>
    <w:tmpl w:val="542C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180128"/>
    <w:multiLevelType w:val="multilevel"/>
    <w:tmpl w:val="0706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A43950"/>
    <w:multiLevelType w:val="hybridMultilevel"/>
    <w:tmpl w:val="D2C801B6"/>
    <w:lvl w:ilvl="0" w:tplc="E4F046D6">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5C00E80"/>
    <w:multiLevelType w:val="hybridMultilevel"/>
    <w:tmpl w:val="FD0C57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6C11EC7"/>
    <w:multiLevelType w:val="multilevel"/>
    <w:tmpl w:val="E18A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5"/>
  </w:num>
  <w:num w:numId="3">
    <w:abstractNumId w:val="39"/>
  </w:num>
  <w:num w:numId="4">
    <w:abstractNumId w:val="42"/>
  </w:num>
  <w:num w:numId="5">
    <w:abstractNumId w:val="24"/>
  </w:num>
  <w:num w:numId="6">
    <w:abstractNumId w:val="33"/>
  </w:num>
  <w:num w:numId="7">
    <w:abstractNumId w:val="3"/>
  </w:num>
  <w:num w:numId="8">
    <w:abstractNumId w:val="40"/>
  </w:num>
  <w:num w:numId="9">
    <w:abstractNumId w:val="17"/>
  </w:num>
  <w:num w:numId="10">
    <w:abstractNumId w:val="31"/>
  </w:num>
  <w:num w:numId="11">
    <w:abstractNumId w:val="34"/>
  </w:num>
  <w:num w:numId="12">
    <w:abstractNumId w:val="9"/>
  </w:num>
  <w:num w:numId="13">
    <w:abstractNumId w:val="5"/>
  </w:num>
  <w:num w:numId="14">
    <w:abstractNumId w:val="2"/>
  </w:num>
  <w:num w:numId="15">
    <w:abstractNumId w:val="26"/>
  </w:num>
  <w:num w:numId="16">
    <w:abstractNumId w:val="28"/>
  </w:num>
  <w:num w:numId="17">
    <w:abstractNumId w:val="6"/>
  </w:num>
  <w:num w:numId="18">
    <w:abstractNumId w:val="21"/>
  </w:num>
  <w:num w:numId="19">
    <w:abstractNumId w:val="27"/>
  </w:num>
  <w:num w:numId="20">
    <w:abstractNumId w:val="30"/>
  </w:num>
  <w:num w:numId="21">
    <w:abstractNumId w:val="37"/>
  </w:num>
  <w:num w:numId="22">
    <w:abstractNumId w:val="19"/>
  </w:num>
  <w:num w:numId="23">
    <w:abstractNumId w:val="8"/>
  </w:num>
  <w:num w:numId="24">
    <w:abstractNumId w:val="32"/>
  </w:num>
  <w:num w:numId="25">
    <w:abstractNumId w:val="11"/>
  </w:num>
  <w:num w:numId="26">
    <w:abstractNumId w:val="13"/>
  </w:num>
  <w:num w:numId="27">
    <w:abstractNumId w:val="16"/>
  </w:num>
  <w:num w:numId="28">
    <w:abstractNumId w:val="18"/>
  </w:num>
  <w:num w:numId="29">
    <w:abstractNumId w:val="22"/>
  </w:num>
  <w:num w:numId="30">
    <w:abstractNumId w:val="14"/>
  </w:num>
  <w:num w:numId="31">
    <w:abstractNumId w:val="29"/>
  </w:num>
  <w:num w:numId="32">
    <w:abstractNumId w:val="1"/>
  </w:num>
  <w:num w:numId="33">
    <w:abstractNumId w:val="41"/>
  </w:num>
  <w:num w:numId="34">
    <w:abstractNumId w:val="4"/>
  </w:num>
  <w:num w:numId="35">
    <w:abstractNumId w:val="23"/>
  </w:num>
  <w:num w:numId="36">
    <w:abstractNumId w:val="12"/>
  </w:num>
  <w:num w:numId="37">
    <w:abstractNumId w:val="0"/>
  </w:num>
  <w:num w:numId="38">
    <w:abstractNumId w:val="20"/>
  </w:num>
  <w:num w:numId="39">
    <w:abstractNumId w:val="10"/>
  </w:num>
  <w:num w:numId="40">
    <w:abstractNumId w:val="36"/>
  </w:num>
  <w:num w:numId="41">
    <w:abstractNumId w:val="38"/>
  </w:num>
  <w:num w:numId="42">
    <w:abstractNumId w:val="35"/>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57B"/>
    <w:rsid w:val="00001D8D"/>
    <w:rsid w:val="00010421"/>
    <w:rsid w:val="00010BD7"/>
    <w:rsid w:val="00047CD8"/>
    <w:rsid w:val="00086BFC"/>
    <w:rsid w:val="0009697A"/>
    <w:rsid w:val="000C21AB"/>
    <w:rsid w:val="000E6D5B"/>
    <w:rsid w:val="00100915"/>
    <w:rsid w:val="001A3CEC"/>
    <w:rsid w:val="001B1F6A"/>
    <w:rsid w:val="001E0914"/>
    <w:rsid w:val="001F61F4"/>
    <w:rsid w:val="0020610B"/>
    <w:rsid w:val="0020693F"/>
    <w:rsid w:val="0028680A"/>
    <w:rsid w:val="002E7D2D"/>
    <w:rsid w:val="00302C53"/>
    <w:rsid w:val="00304CD0"/>
    <w:rsid w:val="003124DD"/>
    <w:rsid w:val="00314581"/>
    <w:rsid w:val="003179B9"/>
    <w:rsid w:val="00323475"/>
    <w:rsid w:val="00340AF4"/>
    <w:rsid w:val="00384740"/>
    <w:rsid w:val="00384B6B"/>
    <w:rsid w:val="003A6740"/>
    <w:rsid w:val="003A6E84"/>
    <w:rsid w:val="003E1CC7"/>
    <w:rsid w:val="003E6A28"/>
    <w:rsid w:val="004065F5"/>
    <w:rsid w:val="00411193"/>
    <w:rsid w:val="00417D8D"/>
    <w:rsid w:val="00452890"/>
    <w:rsid w:val="00455E80"/>
    <w:rsid w:val="004779E7"/>
    <w:rsid w:val="0048150A"/>
    <w:rsid w:val="004A3C9F"/>
    <w:rsid w:val="004A67FD"/>
    <w:rsid w:val="005069E0"/>
    <w:rsid w:val="005151A1"/>
    <w:rsid w:val="00516991"/>
    <w:rsid w:val="0057023E"/>
    <w:rsid w:val="005A5449"/>
    <w:rsid w:val="00600900"/>
    <w:rsid w:val="00673EE9"/>
    <w:rsid w:val="00677D3C"/>
    <w:rsid w:val="00696D24"/>
    <w:rsid w:val="006A5C9E"/>
    <w:rsid w:val="006C2FB6"/>
    <w:rsid w:val="0071140D"/>
    <w:rsid w:val="00732DB6"/>
    <w:rsid w:val="00736EAC"/>
    <w:rsid w:val="0073739C"/>
    <w:rsid w:val="0075409C"/>
    <w:rsid w:val="00766214"/>
    <w:rsid w:val="00787F31"/>
    <w:rsid w:val="00790E7E"/>
    <w:rsid w:val="007967C1"/>
    <w:rsid w:val="007B029B"/>
    <w:rsid w:val="007C4DFE"/>
    <w:rsid w:val="007F3CE1"/>
    <w:rsid w:val="007F5D87"/>
    <w:rsid w:val="00844543"/>
    <w:rsid w:val="008534F2"/>
    <w:rsid w:val="008577C7"/>
    <w:rsid w:val="008656C7"/>
    <w:rsid w:val="008A3541"/>
    <w:rsid w:val="008B0051"/>
    <w:rsid w:val="008B1F8A"/>
    <w:rsid w:val="008E3F46"/>
    <w:rsid w:val="008F43FF"/>
    <w:rsid w:val="00905C36"/>
    <w:rsid w:val="00923988"/>
    <w:rsid w:val="0092626D"/>
    <w:rsid w:val="0092797B"/>
    <w:rsid w:val="0093270A"/>
    <w:rsid w:val="00946820"/>
    <w:rsid w:val="00957B73"/>
    <w:rsid w:val="00960F3A"/>
    <w:rsid w:val="0096736E"/>
    <w:rsid w:val="00970E47"/>
    <w:rsid w:val="00981849"/>
    <w:rsid w:val="009C63DC"/>
    <w:rsid w:val="009C691A"/>
    <w:rsid w:val="00A031A0"/>
    <w:rsid w:val="00A04002"/>
    <w:rsid w:val="00A24238"/>
    <w:rsid w:val="00A33243"/>
    <w:rsid w:val="00A44C7E"/>
    <w:rsid w:val="00A922A8"/>
    <w:rsid w:val="00AD17FE"/>
    <w:rsid w:val="00AE582E"/>
    <w:rsid w:val="00AE597F"/>
    <w:rsid w:val="00AE657E"/>
    <w:rsid w:val="00AF4D87"/>
    <w:rsid w:val="00B016EB"/>
    <w:rsid w:val="00B053E9"/>
    <w:rsid w:val="00B32E1A"/>
    <w:rsid w:val="00B4543A"/>
    <w:rsid w:val="00BB72C5"/>
    <w:rsid w:val="00C0625D"/>
    <w:rsid w:val="00C52D8F"/>
    <w:rsid w:val="00C73BCA"/>
    <w:rsid w:val="00CE7739"/>
    <w:rsid w:val="00CF0D6A"/>
    <w:rsid w:val="00D01DDB"/>
    <w:rsid w:val="00D036C8"/>
    <w:rsid w:val="00D0657B"/>
    <w:rsid w:val="00D11811"/>
    <w:rsid w:val="00D14AAF"/>
    <w:rsid w:val="00D25FAF"/>
    <w:rsid w:val="00D46D9C"/>
    <w:rsid w:val="00D80931"/>
    <w:rsid w:val="00D91816"/>
    <w:rsid w:val="00DC3E8C"/>
    <w:rsid w:val="00DC4379"/>
    <w:rsid w:val="00DC6A8B"/>
    <w:rsid w:val="00DC6B63"/>
    <w:rsid w:val="00DE2980"/>
    <w:rsid w:val="00DE5679"/>
    <w:rsid w:val="00DF4379"/>
    <w:rsid w:val="00E27EC0"/>
    <w:rsid w:val="00E75C5D"/>
    <w:rsid w:val="00E83EE5"/>
    <w:rsid w:val="00EA1F5E"/>
    <w:rsid w:val="00EB3EC1"/>
    <w:rsid w:val="00EB56F5"/>
    <w:rsid w:val="00EC11D5"/>
    <w:rsid w:val="00EE100C"/>
    <w:rsid w:val="00EF1DDE"/>
    <w:rsid w:val="00F302C6"/>
    <w:rsid w:val="00F325F0"/>
    <w:rsid w:val="00F45C76"/>
    <w:rsid w:val="00F706A1"/>
    <w:rsid w:val="00F77932"/>
    <w:rsid w:val="00F96F0D"/>
    <w:rsid w:val="00F97015"/>
    <w:rsid w:val="00FB60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A6979"/>
  <w15:docId w15:val="{EE5EFFCE-1F7F-47A7-A0E0-0D6EDEBF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988"/>
  </w:style>
  <w:style w:type="paragraph" w:styleId="Heading1">
    <w:name w:val="heading 1"/>
    <w:basedOn w:val="Normal"/>
    <w:next w:val="Normal"/>
    <w:link w:val="Heading1Char"/>
    <w:uiPriority w:val="9"/>
    <w:qFormat/>
    <w:rsid w:val="00D06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D065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5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5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5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5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5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5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5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5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5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5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5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57B"/>
    <w:rPr>
      <w:rFonts w:eastAsiaTheme="majorEastAsia" w:cstheme="majorBidi"/>
      <w:color w:val="272727" w:themeColor="text1" w:themeTint="D8"/>
    </w:rPr>
  </w:style>
  <w:style w:type="paragraph" w:styleId="Title">
    <w:name w:val="Title"/>
    <w:basedOn w:val="Normal"/>
    <w:next w:val="Normal"/>
    <w:link w:val="TitleChar"/>
    <w:uiPriority w:val="10"/>
    <w:qFormat/>
    <w:rsid w:val="00D06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57B"/>
    <w:pPr>
      <w:spacing w:before="160"/>
      <w:jc w:val="center"/>
    </w:pPr>
    <w:rPr>
      <w:i/>
      <w:iCs/>
      <w:color w:val="404040" w:themeColor="text1" w:themeTint="BF"/>
    </w:rPr>
  </w:style>
  <w:style w:type="character" w:customStyle="1" w:styleId="QuoteChar">
    <w:name w:val="Quote Char"/>
    <w:basedOn w:val="DefaultParagraphFont"/>
    <w:link w:val="Quote"/>
    <w:uiPriority w:val="29"/>
    <w:rsid w:val="00D0657B"/>
    <w:rPr>
      <w:i/>
      <w:iCs/>
      <w:color w:val="404040" w:themeColor="text1" w:themeTint="BF"/>
    </w:rPr>
  </w:style>
  <w:style w:type="paragraph" w:styleId="ListParagraph">
    <w:name w:val="List Paragraph"/>
    <w:basedOn w:val="Normal"/>
    <w:uiPriority w:val="34"/>
    <w:qFormat/>
    <w:rsid w:val="00D0657B"/>
    <w:pPr>
      <w:ind w:left="720"/>
      <w:contextualSpacing/>
    </w:pPr>
  </w:style>
  <w:style w:type="character" w:styleId="IntenseEmphasis">
    <w:name w:val="Intense Emphasis"/>
    <w:basedOn w:val="DefaultParagraphFont"/>
    <w:uiPriority w:val="21"/>
    <w:qFormat/>
    <w:rsid w:val="00D0657B"/>
    <w:rPr>
      <w:i/>
      <w:iCs/>
      <w:color w:val="0F4761" w:themeColor="accent1" w:themeShade="BF"/>
    </w:rPr>
  </w:style>
  <w:style w:type="paragraph" w:styleId="IntenseQuote">
    <w:name w:val="Intense Quote"/>
    <w:basedOn w:val="Normal"/>
    <w:next w:val="Normal"/>
    <w:link w:val="IntenseQuoteChar"/>
    <w:uiPriority w:val="30"/>
    <w:qFormat/>
    <w:rsid w:val="00D06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57B"/>
    <w:rPr>
      <w:i/>
      <w:iCs/>
      <w:color w:val="0F4761" w:themeColor="accent1" w:themeShade="BF"/>
    </w:rPr>
  </w:style>
  <w:style w:type="character" w:styleId="IntenseReference">
    <w:name w:val="Intense Reference"/>
    <w:basedOn w:val="DefaultParagraphFont"/>
    <w:uiPriority w:val="32"/>
    <w:qFormat/>
    <w:rsid w:val="00D0657B"/>
    <w:rPr>
      <w:b/>
      <w:bCs/>
      <w:smallCaps/>
      <w:color w:val="0F4761" w:themeColor="accent1" w:themeShade="BF"/>
      <w:spacing w:val="5"/>
    </w:rPr>
  </w:style>
  <w:style w:type="paragraph" w:styleId="BodyText">
    <w:name w:val="Body Text"/>
    <w:basedOn w:val="Normal"/>
    <w:link w:val="BodyTextChar"/>
    <w:uiPriority w:val="1"/>
    <w:qFormat/>
    <w:rsid w:val="00E75C5D"/>
    <w:pPr>
      <w:widowControl w:val="0"/>
      <w:autoSpaceDE w:val="0"/>
      <w:autoSpaceDN w:val="0"/>
      <w:spacing w:after="0" w:line="240" w:lineRule="auto"/>
    </w:pPr>
    <w:rPr>
      <w:rFonts w:ascii="Times New Roman" w:eastAsia="Times New Roman" w:hAnsi="Times New Roman" w:cs="Times New Roman"/>
      <w:kern w:val="0"/>
      <w:lang w:val="en-US"/>
    </w:rPr>
  </w:style>
  <w:style w:type="character" w:customStyle="1" w:styleId="BodyTextChar">
    <w:name w:val="Body Text Char"/>
    <w:basedOn w:val="DefaultParagraphFont"/>
    <w:link w:val="BodyText"/>
    <w:uiPriority w:val="1"/>
    <w:rsid w:val="00E75C5D"/>
    <w:rPr>
      <w:rFonts w:ascii="Times New Roman" w:eastAsia="Times New Roman" w:hAnsi="Times New Roman" w:cs="Times New Roman"/>
      <w:kern w:val="0"/>
      <w:lang w:val="en-US"/>
    </w:rPr>
  </w:style>
  <w:style w:type="paragraph" w:styleId="Header">
    <w:name w:val="header"/>
    <w:basedOn w:val="Normal"/>
    <w:link w:val="HeaderChar"/>
    <w:uiPriority w:val="99"/>
    <w:unhideWhenUsed/>
    <w:rsid w:val="00E75C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C5D"/>
  </w:style>
  <w:style w:type="paragraph" w:styleId="Footer">
    <w:name w:val="footer"/>
    <w:basedOn w:val="Normal"/>
    <w:link w:val="FooterChar"/>
    <w:uiPriority w:val="99"/>
    <w:unhideWhenUsed/>
    <w:rsid w:val="00E75C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C5D"/>
  </w:style>
  <w:style w:type="table" w:styleId="TableGrid">
    <w:name w:val="Table Grid"/>
    <w:basedOn w:val="TableNormal"/>
    <w:uiPriority w:val="39"/>
    <w:rsid w:val="00AD1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3C9F"/>
    <w:rPr>
      <w:color w:val="467886" w:themeColor="hyperlink"/>
      <w:u w:val="single"/>
    </w:rPr>
  </w:style>
  <w:style w:type="paragraph" w:customStyle="1" w:styleId="B1">
    <w:name w:val="B1"/>
    <w:basedOn w:val="Normal"/>
    <w:qFormat/>
    <w:rsid w:val="001B1F6A"/>
    <w:pPr>
      <w:spacing w:after="0" w:line="240" w:lineRule="auto"/>
      <w:ind w:firstLine="720"/>
      <w:jc w:val="both"/>
    </w:pPr>
    <w:rPr>
      <w:rFonts w:ascii="Palatino Linotype" w:hAnsi="Palatino Linotype" w:cs="Times New Roman"/>
      <w:sz w:val="20"/>
    </w:rPr>
  </w:style>
  <w:style w:type="paragraph" w:customStyle="1" w:styleId="H1">
    <w:name w:val="H1"/>
    <w:basedOn w:val="Normal"/>
    <w:qFormat/>
    <w:rsid w:val="001B1F6A"/>
    <w:pPr>
      <w:spacing w:before="120" w:after="0" w:line="240" w:lineRule="auto"/>
    </w:pPr>
    <w:rPr>
      <w:rFonts w:ascii="Palatino Linotype" w:hAnsi="Palatino Linotype" w:cs="Times New Roman"/>
      <w:b/>
      <w:bCs/>
      <w:sz w:val="20"/>
    </w:rPr>
  </w:style>
  <w:style w:type="table" w:customStyle="1" w:styleId="TableGrid1">
    <w:name w:val="Table Grid1"/>
    <w:basedOn w:val="TableNormal"/>
    <w:next w:val="TableGrid"/>
    <w:uiPriority w:val="39"/>
    <w:rsid w:val="0028680A"/>
    <w:pPr>
      <w:spacing w:after="0" w:line="240" w:lineRule="auto"/>
    </w:pPr>
    <w:rPr>
      <w:rFonts w:ascii="Calibri" w:eastAsia="Calibri" w:hAnsi="Calibri" w:cs="Times New Roman"/>
      <w:ker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61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10B"/>
    <w:rPr>
      <w:rFonts w:ascii="Segoe UI" w:hAnsi="Segoe UI" w:cs="Segoe UI"/>
      <w:sz w:val="18"/>
      <w:szCs w:val="18"/>
    </w:rPr>
  </w:style>
  <w:style w:type="character" w:customStyle="1" w:styleId="UnresolvedMention1">
    <w:name w:val="Unresolved Mention1"/>
    <w:basedOn w:val="DefaultParagraphFont"/>
    <w:uiPriority w:val="99"/>
    <w:semiHidden/>
    <w:unhideWhenUsed/>
    <w:rsid w:val="006A5C9E"/>
    <w:rPr>
      <w:color w:val="605E5C"/>
      <w:shd w:val="clear" w:color="auto" w:fill="E1DFDD"/>
    </w:rPr>
  </w:style>
  <w:style w:type="paragraph" w:styleId="NormalWeb">
    <w:name w:val="Normal (Web)"/>
    <w:basedOn w:val="Normal"/>
    <w:uiPriority w:val="99"/>
    <w:unhideWhenUsed/>
    <w:rsid w:val="00DC4379"/>
    <w:pPr>
      <w:spacing w:before="100" w:beforeAutospacing="1" w:after="100" w:afterAutospacing="1" w:line="240" w:lineRule="auto"/>
    </w:pPr>
    <w:rPr>
      <w:rFonts w:ascii="Times New Roman" w:eastAsia="Times New Roman" w:hAnsi="Times New Roman" w:cs="Times New Roman"/>
      <w:kern w:val="0"/>
      <w:lang w:eastAsia="en-IN"/>
    </w:rPr>
  </w:style>
  <w:style w:type="table" w:customStyle="1" w:styleId="TableGridLight1">
    <w:name w:val="Table Grid Light1"/>
    <w:basedOn w:val="TableNormal"/>
    <w:uiPriority w:val="40"/>
    <w:rsid w:val="00DC3E8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516991"/>
    <w:pPr>
      <w:widowControl w:val="0"/>
      <w:autoSpaceDE w:val="0"/>
      <w:autoSpaceDN w:val="0"/>
      <w:spacing w:after="0" w:line="240" w:lineRule="auto"/>
    </w:pPr>
    <w:rPr>
      <w:kern w:val="0"/>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D80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1096/ijrpp.v14.iss2.2026.724-730" TargetMode="Externa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4005</Words>
  <Characters>22830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Ubaidullah U</dc:creator>
  <cp:lastModifiedBy>admin</cp:lastModifiedBy>
  <cp:revision>3</cp:revision>
  <cp:lastPrinted>2026-04-18T05:11:00Z</cp:lastPrinted>
  <dcterms:created xsi:type="dcterms:W3CDTF">2026-04-16T06:36:00Z</dcterms:created>
  <dcterms:modified xsi:type="dcterms:W3CDTF">2026-04-18T05:12:00Z</dcterms:modified>
</cp:coreProperties>
</file>